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2F0" w:rsidRPr="00685672" w:rsidRDefault="00C26BB2" w:rsidP="004A22F0">
      <w:pPr>
        <w:spacing w:after="0" w:line="312" w:lineRule="auto"/>
        <w:rPr>
          <w:rFonts w:ascii="Arial" w:hAnsi="Arial" w:cs="Arial"/>
          <w:b/>
          <w:bCs/>
          <w:lang w:val="ru-RU"/>
        </w:rPr>
      </w:pPr>
      <w:r w:rsidRPr="00DC5DF8">
        <w:rPr>
          <w:rFonts w:ascii="Arial" w:hAnsi="Arial" w:cs="Arial"/>
          <w:b/>
          <w:bCs/>
          <w:lang w:val="ru"/>
        </w:rPr>
        <w:t xml:space="preserve">Компания Noventiq объявила о высоких результатах за 1 полугодие 2022 финансового года, в том числе </w:t>
      </w:r>
      <w:r>
        <w:rPr>
          <w:rFonts w:ascii="Arial" w:hAnsi="Arial" w:cs="Arial"/>
          <w:b/>
          <w:bCs/>
          <w:lang w:val="ru-RU"/>
        </w:rPr>
        <w:t xml:space="preserve">о </w:t>
      </w:r>
      <w:r w:rsidRPr="00DC5DF8">
        <w:rPr>
          <w:rFonts w:ascii="Arial" w:hAnsi="Arial" w:cs="Arial"/>
          <w:b/>
          <w:bCs/>
          <w:lang w:val="ru"/>
        </w:rPr>
        <w:t>рост</w:t>
      </w:r>
      <w:r>
        <w:rPr>
          <w:rFonts w:ascii="Arial" w:hAnsi="Arial" w:cs="Arial"/>
          <w:b/>
          <w:bCs/>
          <w:lang w:val="ru"/>
        </w:rPr>
        <w:t>е</w:t>
      </w:r>
      <w:r w:rsidRPr="00DC5DF8">
        <w:rPr>
          <w:rFonts w:ascii="Arial" w:hAnsi="Arial" w:cs="Arial"/>
          <w:b/>
          <w:bCs/>
          <w:lang w:val="ru"/>
        </w:rPr>
        <w:t xml:space="preserve"> выручки в постоянной валюте на 44% и валовой прибыли на 67%</w:t>
      </w:r>
    </w:p>
    <w:p w:rsidR="00683B87" w:rsidRPr="00685672" w:rsidRDefault="00683B87" w:rsidP="00683B87">
      <w:pPr>
        <w:spacing w:after="0" w:line="312" w:lineRule="auto"/>
        <w:rPr>
          <w:rFonts w:ascii="Arial" w:hAnsi="Arial" w:cs="Arial"/>
          <w:b/>
          <w:bCs/>
          <w:lang w:val="ru-RU"/>
        </w:rPr>
      </w:pPr>
    </w:p>
    <w:p w:rsidR="00683B87" w:rsidRPr="00685672" w:rsidRDefault="00683B87" w:rsidP="00683B87">
      <w:pPr>
        <w:spacing w:after="0" w:line="312" w:lineRule="auto"/>
        <w:rPr>
          <w:rFonts w:ascii="Arial" w:hAnsi="Arial" w:cs="Arial"/>
          <w:b/>
          <w:bCs/>
          <w:lang w:val="ru-RU"/>
        </w:rPr>
      </w:pPr>
    </w:p>
    <w:p w:rsidR="00683B87" w:rsidRPr="00685672" w:rsidRDefault="00C26BB2" w:rsidP="00683B87">
      <w:pPr>
        <w:spacing w:after="0" w:line="312" w:lineRule="auto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"/>
        </w:rPr>
        <w:t>29 ноября 2022 года, Лондон, Великобритания</w:t>
      </w:r>
      <w:r w:rsidRPr="009C160C">
        <w:rPr>
          <w:rFonts w:ascii="Arial" w:hAnsi="Arial" w:cs="Arial"/>
          <w:i/>
          <w:lang w:val="ru"/>
        </w:rPr>
        <w:t xml:space="preserve"> —</w:t>
      </w:r>
      <w:r w:rsidRPr="009C160C">
        <w:rPr>
          <w:rFonts w:ascii="Arial" w:hAnsi="Arial" w:cs="Arial"/>
          <w:lang w:val="ru"/>
        </w:rPr>
        <w:t xml:space="preserve"> </w:t>
      </w:r>
      <w:r w:rsidR="00685672">
        <w:rPr>
          <w:rFonts w:ascii="Arial" w:hAnsi="Arial" w:cs="Arial"/>
          <w:lang w:val="ru"/>
        </w:rPr>
        <w:t xml:space="preserve">Компания </w:t>
      </w:r>
      <w:proofErr w:type="spellStart"/>
      <w:r w:rsidR="009C160C" w:rsidRPr="009C160C">
        <w:rPr>
          <w:rFonts w:ascii="Arial" w:hAnsi="Arial" w:cs="Arial"/>
          <w:b/>
          <w:lang w:val="ru"/>
        </w:rPr>
        <w:t>Noventiq</w:t>
      </w:r>
      <w:proofErr w:type="spellEnd"/>
      <w:r w:rsidRPr="009C160C">
        <w:rPr>
          <w:rFonts w:ascii="Arial" w:hAnsi="Arial" w:cs="Arial"/>
          <w:lang w:val="ru"/>
        </w:rPr>
        <w:t xml:space="preserve"> [</w:t>
      </w:r>
      <w:proofErr w:type="spellStart"/>
      <w:r w:rsidRPr="009C160C">
        <w:rPr>
          <w:rFonts w:ascii="Arial" w:hAnsi="Arial" w:cs="Arial"/>
          <w:lang w:val="ru"/>
        </w:rPr>
        <w:t>Softline</w:t>
      </w:r>
      <w:proofErr w:type="spellEnd"/>
      <w:r w:rsidRPr="009C160C">
        <w:rPr>
          <w:rFonts w:ascii="Arial" w:hAnsi="Arial" w:cs="Arial"/>
          <w:lang w:val="ru"/>
        </w:rPr>
        <w:t xml:space="preserve"> </w:t>
      </w:r>
      <w:proofErr w:type="spellStart"/>
      <w:r w:rsidRPr="009C160C">
        <w:rPr>
          <w:rFonts w:ascii="Arial" w:hAnsi="Arial" w:cs="Arial"/>
          <w:lang w:val="ru"/>
        </w:rPr>
        <w:t>Holding</w:t>
      </w:r>
      <w:proofErr w:type="spellEnd"/>
      <w:r w:rsidRPr="009C160C">
        <w:rPr>
          <w:rFonts w:ascii="Arial" w:hAnsi="Arial" w:cs="Arial"/>
          <w:lang w:val="ru"/>
        </w:rPr>
        <w:t xml:space="preserve"> PLC / SFTL, US83407L2079] (далее — Noventiq, Группа или Компания), поставщик решений и услуг в области цифровой трансформации и кибербезопасности, объявил</w:t>
      </w:r>
      <w:r w:rsidR="00685672">
        <w:rPr>
          <w:rFonts w:ascii="Arial" w:hAnsi="Arial" w:cs="Arial"/>
          <w:lang w:val="ru"/>
        </w:rPr>
        <w:t>а</w:t>
      </w:r>
      <w:r w:rsidRPr="009C160C">
        <w:rPr>
          <w:rFonts w:ascii="Arial" w:hAnsi="Arial" w:cs="Arial"/>
          <w:lang w:val="ru"/>
        </w:rPr>
        <w:t xml:space="preserve"> </w:t>
      </w:r>
      <w:proofErr w:type="spellStart"/>
      <w:r w:rsidRPr="009C160C">
        <w:rPr>
          <w:rFonts w:ascii="Arial" w:hAnsi="Arial" w:cs="Arial"/>
          <w:lang w:val="ru"/>
        </w:rPr>
        <w:t>неаудированные</w:t>
      </w:r>
      <w:proofErr w:type="spellEnd"/>
      <w:r w:rsidRPr="009C160C">
        <w:rPr>
          <w:rFonts w:ascii="Arial" w:hAnsi="Arial" w:cs="Arial"/>
          <w:lang w:val="ru"/>
        </w:rPr>
        <w:t xml:space="preserve"> показатели операционной деятельности за </w:t>
      </w:r>
      <w:r w:rsidR="00685672">
        <w:rPr>
          <w:rFonts w:ascii="Arial" w:hAnsi="Arial" w:cs="Arial"/>
          <w:lang w:val="ru"/>
        </w:rPr>
        <w:t>2</w:t>
      </w:r>
      <w:r w:rsidRPr="009C160C">
        <w:rPr>
          <w:rFonts w:ascii="Arial" w:hAnsi="Arial" w:cs="Arial"/>
          <w:lang w:val="ru"/>
        </w:rPr>
        <w:t xml:space="preserve"> квартал и 1 полугодие 2022 финансового года. Компания Noventiq зарегистрирована на Кипре и ведет деятельность почти в 60 странах. Штаб-квартира компании расположена в Лондоне. </w:t>
      </w:r>
    </w:p>
    <w:p w:rsidR="00683B87" w:rsidRPr="00685672" w:rsidRDefault="00683B87" w:rsidP="00683B87">
      <w:pPr>
        <w:spacing w:after="0" w:line="312" w:lineRule="auto"/>
        <w:rPr>
          <w:rFonts w:ascii="Arial" w:hAnsi="Arial" w:cs="Arial"/>
          <w:lang w:val="ru-RU"/>
        </w:rPr>
      </w:pPr>
    </w:p>
    <w:p w:rsidR="004A22F0" w:rsidRPr="00685672" w:rsidRDefault="00C26BB2" w:rsidP="004A22F0">
      <w:pPr>
        <w:spacing w:line="24" w:lineRule="atLeast"/>
        <w:jc w:val="both"/>
        <w:rPr>
          <w:rFonts w:ascii="Arial" w:hAnsi="Arial" w:cs="Arial"/>
          <w:b/>
          <w:bCs/>
          <w:caps/>
          <w:lang w:val="ru-RU"/>
        </w:rPr>
      </w:pPr>
      <w:r w:rsidRPr="00AE07B3">
        <w:rPr>
          <w:rFonts w:ascii="Arial" w:hAnsi="Arial" w:cs="Arial"/>
          <w:b/>
          <w:bCs/>
          <w:caps/>
          <w:lang w:val="ru"/>
        </w:rPr>
        <w:t xml:space="preserve">ОСНОВНЫЕ </w:t>
      </w:r>
      <w:r w:rsidR="00880780">
        <w:rPr>
          <w:rFonts w:ascii="Arial" w:hAnsi="Arial" w:cs="Arial"/>
          <w:b/>
          <w:bCs/>
          <w:caps/>
          <w:lang w:val="ru"/>
        </w:rPr>
        <w:t>РЕЗУЛЬТАТЫ БИЗНЕСА</w:t>
      </w:r>
      <w:r w:rsidRPr="00AE07B3">
        <w:rPr>
          <w:rFonts w:ascii="Arial" w:hAnsi="Arial" w:cs="Arial"/>
          <w:b/>
          <w:bCs/>
          <w:caps/>
          <w:lang w:val="ru"/>
        </w:rPr>
        <w:t xml:space="preserve"> ЗА </w:t>
      </w:r>
      <w:proofErr w:type="gramStart"/>
      <w:r w:rsidRPr="00AE07B3">
        <w:rPr>
          <w:rFonts w:ascii="Arial" w:hAnsi="Arial" w:cs="Arial"/>
          <w:b/>
          <w:bCs/>
          <w:caps/>
          <w:lang w:val="ru"/>
        </w:rPr>
        <w:t>1</w:t>
      </w:r>
      <w:r w:rsidR="005958C2">
        <w:rPr>
          <w:rFonts w:ascii="Arial" w:hAnsi="Arial" w:cs="Arial"/>
          <w:b/>
          <w:bCs/>
          <w:caps/>
          <w:lang w:val="ru"/>
        </w:rPr>
        <w:t>К</w:t>
      </w:r>
      <w:r w:rsidRPr="00AE07B3">
        <w:rPr>
          <w:rFonts w:ascii="Arial" w:hAnsi="Arial" w:cs="Arial"/>
          <w:b/>
          <w:bCs/>
          <w:caps/>
          <w:lang w:val="ru"/>
        </w:rPr>
        <w:t xml:space="preserve"> и</w:t>
      </w:r>
      <w:proofErr w:type="gramEnd"/>
      <w:r w:rsidRPr="00AE07B3">
        <w:rPr>
          <w:rFonts w:ascii="Arial" w:hAnsi="Arial" w:cs="Arial"/>
          <w:b/>
          <w:bCs/>
          <w:caps/>
          <w:lang w:val="ru"/>
        </w:rPr>
        <w:t xml:space="preserve"> </w:t>
      </w:r>
      <w:r w:rsidR="005958C2">
        <w:rPr>
          <w:rFonts w:ascii="Arial" w:hAnsi="Arial" w:cs="Arial"/>
          <w:b/>
          <w:bCs/>
          <w:caps/>
          <w:lang w:val="ru"/>
        </w:rPr>
        <w:t>6М</w:t>
      </w:r>
      <w:r w:rsidRPr="00AE07B3">
        <w:rPr>
          <w:rFonts w:ascii="Arial" w:hAnsi="Arial" w:cs="Arial"/>
          <w:b/>
          <w:bCs/>
          <w:caps/>
          <w:lang w:val="ru"/>
        </w:rPr>
        <w:t xml:space="preserve"> 2022</w:t>
      </w:r>
    </w:p>
    <w:p w:rsidR="008C1B68" w:rsidRPr="00685672" w:rsidRDefault="005958C2" w:rsidP="00AA541A">
      <w:pPr>
        <w:pStyle w:val="a3"/>
        <w:numPr>
          <w:ilvl w:val="0"/>
          <w:numId w:val="19"/>
        </w:numPr>
        <w:spacing w:line="312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"/>
        </w:rPr>
        <w:t>Оборот</w:t>
      </w:r>
      <w:r w:rsidR="00C26BB2" w:rsidRPr="00C51C19">
        <w:rPr>
          <w:rFonts w:ascii="Arial" w:hAnsi="Arial" w:cs="Arial"/>
          <w:lang w:val="ru"/>
        </w:rPr>
        <w:t xml:space="preserve"> за 2 квартал 2022 года составил 320,4 млн долл. — он увеличилс</w:t>
      </w:r>
      <w:r>
        <w:rPr>
          <w:rFonts w:ascii="Arial" w:hAnsi="Arial" w:cs="Arial"/>
          <w:lang w:val="ru"/>
        </w:rPr>
        <w:t>я</w:t>
      </w:r>
      <w:r w:rsidR="00C26BB2" w:rsidRPr="00C51C19">
        <w:rPr>
          <w:rFonts w:ascii="Arial" w:hAnsi="Arial" w:cs="Arial"/>
          <w:lang w:val="ru"/>
        </w:rPr>
        <w:t xml:space="preserve"> на 35% в долларах США и на 48% в постоянной валюте. За 6 месяцев до 30 сентября 2022 года </w:t>
      </w:r>
      <w:r>
        <w:rPr>
          <w:rFonts w:ascii="Arial" w:hAnsi="Arial" w:cs="Arial"/>
          <w:lang w:val="ru"/>
        </w:rPr>
        <w:t>оборот</w:t>
      </w:r>
      <w:r w:rsidR="00C26BB2" w:rsidRPr="00C51C19">
        <w:rPr>
          <w:rFonts w:ascii="Arial" w:hAnsi="Arial" w:cs="Arial"/>
          <w:lang w:val="ru"/>
        </w:rPr>
        <w:t xml:space="preserve"> составил 691 млн долл., увеличившись на 32% в долларах США и на 44% в постоянной валюте.</w:t>
      </w:r>
    </w:p>
    <w:p w:rsidR="008C1B68" w:rsidRPr="00685672" w:rsidRDefault="00C26BB2" w:rsidP="006650E1">
      <w:pPr>
        <w:pStyle w:val="a3"/>
        <w:numPr>
          <w:ilvl w:val="0"/>
          <w:numId w:val="19"/>
        </w:numPr>
        <w:spacing w:line="312" w:lineRule="auto"/>
        <w:rPr>
          <w:rFonts w:ascii="Arial" w:hAnsi="Arial" w:cs="Arial"/>
          <w:lang w:val="ru-RU"/>
        </w:rPr>
      </w:pPr>
      <w:r w:rsidRPr="00C51C19">
        <w:rPr>
          <w:rFonts w:ascii="Arial" w:hAnsi="Arial" w:cs="Arial"/>
          <w:lang w:val="ru"/>
        </w:rPr>
        <w:t>Валовая прибыль за 2 квартал 2022 года составила 49,9 млн долл., что означает увеличение на 66% в долларах США и на 77% в постоянной валюте. За 6 месяцев до 30 сентября 2022 года валовая прибыль составила 95,8 млн долл. (рост на 58% в долларах США и на 67% в постоянной валюте</w:t>
      </w:r>
      <w:r w:rsidR="002C4E8C" w:rsidRPr="002C4E8C">
        <w:rPr>
          <w:rFonts w:ascii="Arial" w:hAnsi="Arial" w:cs="Arial"/>
          <w:lang w:val="ru-RU"/>
        </w:rPr>
        <w:t>)</w:t>
      </w:r>
      <w:r w:rsidRPr="00C51C19">
        <w:rPr>
          <w:rFonts w:ascii="Arial" w:hAnsi="Arial" w:cs="Arial"/>
          <w:lang w:val="ru"/>
        </w:rPr>
        <w:t>.</w:t>
      </w:r>
    </w:p>
    <w:p w:rsidR="005958C2" w:rsidRPr="00685672" w:rsidRDefault="005958C2" w:rsidP="005958C2">
      <w:pPr>
        <w:pStyle w:val="a3"/>
        <w:numPr>
          <w:ilvl w:val="0"/>
          <w:numId w:val="19"/>
        </w:numPr>
        <w:spacing w:line="312" w:lineRule="auto"/>
        <w:rPr>
          <w:rFonts w:ascii="Arial" w:hAnsi="Arial" w:cs="Arial"/>
          <w:lang w:val="ru-RU"/>
        </w:rPr>
      </w:pPr>
      <w:r w:rsidRPr="008305EA">
        <w:rPr>
          <w:rFonts w:ascii="Arial" w:hAnsi="Arial" w:cs="Arial"/>
          <w:bCs/>
          <w:lang w:val="ru"/>
        </w:rPr>
        <w:t xml:space="preserve">Компания интенсивно развивалась во всех регионах: темпы роста были двузначными во всех 4 регионах, включая Индию, в которой </w:t>
      </w:r>
      <w:r w:rsidR="0030611E">
        <w:rPr>
          <w:rFonts w:ascii="Arial" w:hAnsi="Arial" w:cs="Arial"/>
          <w:bCs/>
          <w:lang w:val="ru"/>
        </w:rPr>
        <w:t>оборот</w:t>
      </w:r>
      <w:r w:rsidRPr="008305EA">
        <w:rPr>
          <w:rFonts w:ascii="Arial" w:hAnsi="Arial" w:cs="Arial"/>
          <w:bCs/>
          <w:lang w:val="ru"/>
        </w:rPr>
        <w:t xml:space="preserve"> составил 315 млн долл. в первом полугодии (рост </w:t>
      </w:r>
      <w:r>
        <w:rPr>
          <w:rFonts w:ascii="Arial" w:hAnsi="Arial" w:cs="Arial"/>
          <w:bCs/>
          <w:lang w:val="ru"/>
        </w:rPr>
        <w:t>43</w:t>
      </w:r>
      <w:r w:rsidRPr="008305EA">
        <w:rPr>
          <w:rFonts w:ascii="Arial" w:hAnsi="Arial" w:cs="Arial"/>
          <w:bCs/>
          <w:lang w:val="ru"/>
        </w:rPr>
        <w:t xml:space="preserve">% </w:t>
      </w:r>
      <w:r>
        <w:rPr>
          <w:rFonts w:ascii="Arial" w:hAnsi="Arial" w:cs="Arial"/>
          <w:bCs/>
          <w:lang w:val="ru"/>
        </w:rPr>
        <w:t xml:space="preserve">в постоянной валюте </w:t>
      </w:r>
      <w:r w:rsidRPr="008305EA">
        <w:rPr>
          <w:rFonts w:ascii="Arial" w:hAnsi="Arial" w:cs="Arial"/>
          <w:bCs/>
          <w:lang w:val="ru"/>
        </w:rPr>
        <w:t>по сравнению с предыдущим периодом).</w:t>
      </w:r>
    </w:p>
    <w:p w:rsidR="008550F7" w:rsidRPr="005958C2" w:rsidRDefault="00C26BB2" w:rsidP="00B028F6">
      <w:pPr>
        <w:pStyle w:val="a3"/>
        <w:numPr>
          <w:ilvl w:val="0"/>
          <w:numId w:val="19"/>
        </w:numPr>
        <w:spacing w:line="312" w:lineRule="auto"/>
        <w:rPr>
          <w:rFonts w:ascii="Arial" w:hAnsi="Arial" w:cs="Arial"/>
          <w:lang w:val="ru-RU"/>
        </w:rPr>
      </w:pPr>
      <w:r w:rsidRPr="00B028F6">
        <w:rPr>
          <w:rFonts w:ascii="Arial" w:hAnsi="Arial" w:cs="Arial"/>
          <w:lang w:val="ru"/>
        </w:rPr>
        <w:t xml:space="preserve">Рост </w:t>
      </w:r>
      <w:r w:rsidR="005958C2">
        <w:rPr>
          <w:rFonts w:ascii="Arial" w:hAnsi="Arial" w:cs="Arial"/>
          <w:lang w:val="ru"/>
        </w:rPr>
        <w:t>оборота в сегменте «Услуги»</w:t>
      </w:r>
      <w:r w:rsidRPr="00B028F6">
        <w:rPr>
          <w:rFonts w:ascii="Arial" w:hAnsi="Arial" w:cs="Arial"/>
          <w:lang w:val="ru"/>
        </w:rPr>
        <w:t xml:space="preserve"> в долларах США во 2 квартале составил 105%, что обеспечило 63% валовой прибыли.</w:t>
      </w:r>
    </w:p>
    <w:p w:rsidR="005958C2" w:rsidRPr="00685672" w:rsidRDefault="005958C2" w:rsidP="00B028F6">
      <w:pPr>
        <w:pStyle w:val="a3"/>
        <w:numPr>
          <w:ilvl w:val="0"/>
          <w:numId w:val="19"/>
        </w:numPr>
        <w:spacing w:line="312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Рост оборота в сегменте «Оборудование» вырос на 217% год к году во втором квартале 2022 года. </w:t>
      </w:r>
    </w:p>
    <w:p w:rsidR="00B028F6" w:rsidRPr="00685672" w:rsidRDefault="005958C2" w:rsidP="00B028F6">
      <w:pPr>
        <w:pStyle w:val="a3"/>
        <w:numPr>
          <w:ilvl w:val="0"/>
          <w:numId w:val="19"/>
        </w:numPr>
        <w:spacing w:after="0" w:line="312" w:lineRule="auto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ru"/>
        </w:rPr>
        <w:t>Оборот повторяющегося бизнеса</w:t>
      </w:r>
      <w:r w:rsidR="002C4E8C" w:rsidRPr="004A5A97">
        <w:rPr>
          <w:rFonts w:ascii="Arial" w:hAnsi="Arial" w:cs="Arial"/>
          <w:bCs/>
          <w:lang w:val="ru"/>
        </w:rPr>
        <w:t xml:space="preserve"> составил 73% </w:t>
      </w:r>
      <w:r>
        <w:rPr>
          <w:rFonts w:ascii="Arial" w:hAnsi="Arial" w:cs="Arial"/>
          <w:bCs/>
          <w:lang w:val="ru"/>
        </w:rPr>
        <w:t xml:space="preserve">от общего оборота </w:t>
      </w:r>
      <w:r w:rsidR="002C4E8C" w:rsidRPr="004A5A97">
        <w:rPr>
          <w:rFonts w:ascii="Arial" w:hAnsi="Arial" w:cs="Arial"/>
          <w:bCs/>
          <w:lang w:val="ru"/>
        </w:rPr>
        <w:t xml:space="preserve">в первом </w:t>
      </w:r>
      <w:r w:rsidR="00C60383" w:rsidRPr="004A5A97">
        <w:rPr>
          <w:rFonts w:ascii="Arial" w:hAnsi="Arial" w:cs="Arial"/>
          <w:bCs/>
          <w:lang w:val="ru"/>
        </w:rPr>
        <w:t>полугодии, в то время как</w:t>
      </w:r>
      <w:r w:rsidR="002C4E8C" w:rsidRPr="004A5A97">
        <w:rPr>
          <w:rFonts w:ascii="Arial" w:hAnsi="Arial" w:cs="Arial"/>
          <w:bCs/>
          <w:lang w:val="ru"/>
        </w:rPr>
        <w:t xml:space="preserve"> в первом полугодии прошлого года он был равен 60%.</w:t>
      </w:r>
    </w:p>
    <w:p w:rsidR="008550F7" w:rsidRPr="00685672" w:rsidRDefault="00C26BB2" w:rsidP="00B028F6">
      <w:pPr>
        <w:pStyle w:val="a3"/>
        <w:numPr>
          <w:ilvl w:val="0"/>
          <w:numId w:val="19"/>
        </w:numPr>
        <w:spacing w:line="312" w:lineRule="auto"/>
        <w:rPr>
          <w:rFonts w:ascii="Arial" w:hAnsi="Arial" w:cs="Arial"/>
          <w:lang w:val="ru-RU"/>
        </w:rPr>
      </w:pPr>
      <w:r w:rsidRPr="004A5A97">
        <w:rPr>
          <w:rFonts w:ascii="Arial" w:hAnsi="Arial" w:cs="Arial"/>
          <w:bCs/>
          <w:lang w:val="ru"/>
        </w:rPr>
        <w:t>Успешно завершено выделение российско</w:t>
      </w:r>
      <w:r>
        <w:rPr>
          <w:rFonts w:ascii="Arial" w:hAnsi="Arial" w:cs="Arial"/>
          <w:bCs/>
          <w:lang w:val="ru"/>
        </w:rPr>
        <w:t>й части</w:t>
      </w:r>
      <w:r w:rsidRPr="004A5A97">
        <w:rPr>
          <w:rFonts w:ascii="Arial" w:hAnsi="Arial" w:cs="Arial"/>
          <w:bCs/>
          <w:lang w:val="ru"/>
        </w:rPr>
        <w:t xml:space="preserve"> бизнеса.</w:t>
      </w:r>
    </w:p>
    <w:p w:rsidR="008550F7" w:rsidRPr="00685672" w:rsidRDefault="00C26BB2" w:rsidP="00B028F6">
      <w:pPr>
        <w:pStyle w:val="a3"/>
        <w:numPr>
          <w:ilvl w:val="0"/>
          <w:numId w:val="19"/>
        </w:numPr>
        <w:spacing w:line="312" w:lineRule="auto"/>
        <w:rPr>
          <w:rFonts w:ascii="Arial" w:hAnsi="Arial" w:cs="Arial"/>
          <w:lang w:val="ru-RU"/>
        </w:rPr>
      </w:pPr>
      <w:r w:rsidRPr="00B028F6">
        <w:rPr>
          <w:rFonts w:ascii="Arial" w:hAnsi="Arial" w:cs="Arial"/>
          <w:lang w:val="ru"/>
        </w:rPr>
        <w:t>Компания начала работать под брендом Noventiq — это сильный бизнес с более чем 25-летним опытом работы в сфере ИТ и впечатляющей историей развития.</w:t>
      </w:r>
    </w:p>
    <w:p w:rsidR="00D93A43" w:rsidRPr="00685672" w:rsidRDefault="00C26BB2" w:rsidP="00D93A43">
      <w:pPr>
        <w:pStyle w:val="a3"/>
        <w:numPr>
          <w:ilvl w:val="0"/>
          <w:numId w:val="19"/>
        </w:numPr>
        <w:spacing w:line="312" w:lineRule="auto"/>
        <w:rPr>
          <w:rFonts w:ascii="Arial" w:hAnsi="Arial" w:cs="Arial"/>
          <w:lang w:val="ru-RU"/>
        </w:rPr>
      </w:pPr>
      <w:r w:rsidRPr="00B028F6">
        <w:rPr>
          <w:rFonts w:ascii="Arial" w:hAnsi="Arial" w:cs="Arial"/>
          <w:lang w:val="ru"/>
        </w:rPr>
        <w:t>Привлекательный работодатель для 3,9 тыс. квалифицированных сотрудников, что на 54% больше по сравнению с аналогичным периодом прошлого года в целом и на 76% больше в с</w:t>
      </w:r>
      <w:proofErr w:type="spellStart"/>
      <w:r w:rsidR="00D61F01">
        <w:rPr>
          <w:rFonts w:ascii="Arial" w:hAnsi="Arial" w:cs="Arial"/>
          <w:lang w:val="ru-RU"/>
        </w:rPr>
        <w:t>егменте</w:t>
      </w:r>
      <w:proofErr w:type="spellEnd"/>
      <w:r w:rsidR="00D61F01">
        <w:rPr>
          <w:rFonts w:ascii="Arial" w:hAnsi="Arial" w:cs="Arial"/>
          <w:lang w:val="ru-RU"/>
        </w:rPr>
        <w:t xml:space="preserve"> «</w:t>
      </w:r>
      <w:r w:rsidR="00D61F01">
        <w:rPr>
          <w:rFonts w:ascii="Arial" w:hAnsi="Arial" w:cs="Arial"/>
          <w:lang w:val="ru"/>
        </w:rPr>
        <w:t>У</w:t>
      </w:r>
      <w:r w:rsidRPr="00B028F6">
        <w:rPr>
          <w:rFonts w:ascii="Arial" w:hAnsi="Arial" w:cs="Arial"/>
          <w:lang w:val="ru"/>
        </w:rPr>
        <w:t>слуг</w:t>
      </w:r>
      <w:r w:rsidR="00D61F01">
        <w:rPr>
          <w:rFonts w:ascii="Arial" w:hAnsi="Arial" w:cs="Arial"/>
          <w:lang w:val="ru"/>
        </w:rPr>
        <w:t>и»</w:t>
      </w:r>
      <w:r w:rsidRPr="00B028F6">
        <w:rPr>
          <w:rFonts w:ascii="Arial" w:hAnsi="Arial" w:cs="Arial"/>
          <w:lang w:val="ru"/>
        </w:rPr>
        <w:t>.</w:t>
      </w:r>
    </w:p>
    <w:p w:rsidR="00D93A43" w:rsidRPr="00685672" w:rsidRDefault="00C26BB2" w:rsidP="00D93A43">
      <w:pPr>
        <w:pStyle w:val="a3"/>
        <w:numPr>
          <w:ilvl w:val="0"/>
          <w:numId w:val="19"/>
        </w:numPr>
        <w:spacing w:line="312" w:lineRule="auto"/>
        <w:rPr>
          <w:rFonts w:ascii="Arial" w:hAnsi="Arial" w:cs="Arial"/>
          <w:lang w:val="ru-RU"/>
        </w:rPr>
      </w:pPr>
      <w:r w:rsidRPr="008305EA">
        <w:rPr>
          <w:rFonts w:ascii="Arial" w:hAnsi="Arial" w:cs="Arial"/>
          <w:lang w:val="ru"/>
        </w:rPr>
        <w:t>Улучшение компетенций и ресурсов по Microsoft и расширение в существующих и новых географических регионах.</w:t>
      </w:r>
    </w:p>
    <w:p w:rsidR="004A22F0" w:rsidRPr="00685672" w:rsidRDefault="00C26BB2" w:rsidP="00D93A43">
      <w:pPr>
        <w:pStyle w:val="a3"/>
        <w:numPr>
          <w:ilvl w:val="0"/>
          <w:numId w:val="19"/>
        </w:numPr>
        <w:spacing w:line="312" w:lineRule="auto"/>
        <w:rPr>
          <w:rFonts w:ascii="Arial" w:hAnsi="Arial" w:cs="Arial"/>
          <w:lang w:val="ru-RU"/>
        </w:rPr>
      </w:pPr>
      <w:r w:rsidRPr="00B028F6">
        <w:rPr>
          <w:rFonts w:ascii="Arial" w:hAnsi="Arial" w:cs="Arial"/>
          <w:lang w:val="ru"/>
        </w:rPr>
        <w:t>Инвестиции в инновационный рост и сотрудничество с ключевыми поставщиками, включая AWS, Apple и Google.</w:t>
      </w:r>
    </w:p>
    <w:p w:rsidR="008550F7" w:rsidRPr="00685672" w:rsidRDefault="00C26BB2" w:rsidP="00B028F6">
      <w:pPr>
        <w:pStyle w:val="a3"/>
        <w:numPr>
          <w:ilvl w:val="0"/>
          <w:numId w:val="19"/>
        </w:numPr>
        <w:spacing w:line="312" w:lineRule="auto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ru"/>
        </w:rPr>
        <w:t xml:space="preserve">Продолжение инвестиций и реализации стратегии слияний и поглощений: </w:t>
      </w:r>
      <w:r w:rsidR="00CD6386">
        <w:rPr>
          <w:rFonts w:ascii="Arial" w:hAnsi="Arial" w:cs="Arial"/>
          <w:bCs/>
          <w:lang w:val="ru"/>
        </w:rPr>
        <w:t>4</w:t>
      </w:r>
      <w:r>
        <w:rPr>
          <w:rFonts w:ascii="Arial" w:hAnsi="Arial" w:cs="Arial"/>
          <w:bCs/>
          <w:lang w:val="ru"/>
        </w:rPr>
        <w:t xml:space="preserve"> сделк</w:t>
      </w:r>
      <w:r w:rsidR="00CD6386">
        <w:rPr>
          <w:rFonts w:ascii="Arial" w:hAnsi="Arial" w:cs="Arial"/>
          <w:bCs/>
          <w:lang w:val="ru"/>
        </w:rPr>
        <w:t>и</w:t>
      </w:r>
      <w:r>
        <w:rPr>
          <w:rFonts w:ascii="Arial" w:hAnsi="Arial" w:cs="Arial"/>
          <w:bCs/>
          <w:lang w:val="ru"/>
        </w:rPr>
        <w:t xml:space="preserve"> M&amp;A объявлен</w:t>
      </w:r>
      <w:r w:rsidR="00CD6386">
        <w:rPr>
          <w:rFonts w:ascii="Arial" w:hAnsi="Arial" w:cs="Arial"/>
          <w:bCs/>
          <w:lang w:val="ru"/>
        </w:rPr>
        <w:t>ы</w:t>
      </w:r>
      <w:r>
        <w:rPr>
          <w:rFonts w:ascii="Arial" w:hAnsi="Arial" w:cs="Arial"/>
          <w:bCs/>
          <w:lang w:val="ru"/>
        </w:rPr>
        <w:t xml:space="preserve"> в первом полугодии, что расширит компетенции, ресурсы и географический охват компании.</w:t>
      </w:r>
    </w:p>
    <w:p w:rsidR="008550F7" w:rsidRPr="00685672" w:rsidRDefault="00C26BB2" w:rsidP="00B028F6">
      <w:pPr>
        <w:pStyle w:val="a3"/>
        <w:numPr>
          <w:ilvl w:val="0"/>
          <w:numId w:val="19"/>
        </w:numPr>
        <w:spacing w:line="312" w:lineRule="auto"/>
        <w:rPr>
          <w:rFonts w:ascii="Arial" w:hAnsi="Arial" w:cs="Arial"/>
          <w:lang w:val="ru-RU"/>
        </w:rPr>
      </w:pPr>
      <w:r w:rsidRPr="00B028F6">
        <w:rPr>
          <w:rFonts w:ascii="Arial" w:hAnsi="Arial" w:cs="Arial"/>
          <w:lang w:val="ru"/>
        </w:rPr>
        <w:lastRenderedPageBreak/>
        <w:t xml:space="preserve">Расширение географии присутствия, выход </w:t>
      </w:r>
      <w:r w:rsidR="002C4E8C">
        <w:rPr>
          <w:rFonts w:ascii="Arial" w:hAnsi="Arial" w:cs="Arial"/>
          <w:lang w:val="ru-RU"/>
        </w:rPr>
        <w:t>в</w:t>
      </w:r>
      <w:r w:rsidRPr="00B028F6">
        <w:rPr>
          <w:rFonts w:ascii="Arial" w:hAnsi="Arial" w:cs="Arial"/>
          <w:lang w:val="ru"/>
        </w:rPr>
        <w:t xml:space="preserve"> 4 новые страны во 2 квартале.</w:t>
      </w:r>
    </w:p>
    <w:p w:rsidR="00B028F6" w:rsidRPr="00685672" w:rsidRDefault="00C26BB2" w:rsidP="00B028F6">
      <w:pPr>
        <w:pStyle w:val="a3"/>
        <w:numPr>
          <w:ilvl w:val="0"/>
          <w:numId w:val="19"/>
        </w:numPr>
        <w:spacing w:after="0" w:line="312" w:lineRule="auto"/>
        <w:rPr>
          <w:rFonts w:ascii="Arial" w:hAnsi="Arial" w:cs="Arial"/>
          <w:lang w:val="ru-RU"/>
        </w:rPr>
      </w:pPr>
      <w:r w:rsidRPr="008305EA">
        <w:rPr>
          <w:rFonts w:ascii="Arial" w:hAnsi="Arial" w:cs="Arial"/>
          <w:lang w:val="ru"/>
        </w:rPr>
        <w:t>Ускоренный переход к мультиоблачной и мультивендорной модели бизнеса, приорит</w:t>
      </w:r>
      <w:r w:rsidR="002C4E8C">
        <w:rPr>
          <w:rFonts w:ascii="Arial" w:hAnsi="Arial" w:cs="Arial"/>
          <w:lang w:val="ru"/>
        </w:rPr>
        <w:t>и</w:t>
      </w:r>
      <w:r w:rsidRPr="008305EA">
        <w:rPr>
          <w:rFonts w:ascii="Arial" w:hAnsi="Arial" w:cs="Arial"/>
          <w:lang w:val="ru"/>
        </w:rPr>
        <w:t>зация услуг, кибербезопасности и цифровой трансформации.</w:t>
      </w:r>
    </w:p>
    <w:p w:rsidR="004A22F0" w:rsidRPr="00313136" w:rsidRDefault="004A22F0" w:rsidP="00683B87">
      <w:pPr>
        <w:spacing w:after="0" w:line="312" w:lineRule="auto"/>
        <w:rPr>
          <w:rFonts w:ascii="Arial" w:hAnsi="Arial" w:cs="Arial"/>
          <w:lang w:val="ru-RU"/>
        </w:rPr>
      </w:pPr>
    </w:p>
    <w:p w:rsidR="004A22F0" w:rsidRPr="00685672" w:rsidRDefault="00C26BB2" w:rsidP="004A22F0">
      <w:pPr>
        <w:spacing w:line="24" w:lineRule="atLeast"/>
        <w:jc w:val="both"/>
        <w:rPr>
          <w:rFonts w:ascii="Arial" w:hAnsi="Arial" w:cs="Arial"/>
          <w:b/>
          <w:bCs/>
          <w:lang w:val="ru-RU"/>
        </w:rPr>
      </w:pPr>
      <w:bookmarkStart w:id="0" w:name="_Hlk120276965"/>
      <w:r w:rsidRPr="00D8335C">
        <w:rPr>
          <w:rFonts w:ascii="Arial" w:hAnsi="Arial" w:cs="Arial"/>
          <w:b/>
          <w:bCs/>
          <w:lang w:val="ru"/>
        </w:rPr>
        <w:t>Сергей Черноволенко, глобальный генеральный директор Noventiq:</w:t>
      </w:r>
    </w:p>
    <w:p w:rsidR="004A22F0" w:rsidRPr="00685672" w:rsidRDefault="00C26BB2" w:rsidP="007C1299">
      <w:pPr>
        <w:spacing w:after="0" w:line="312" w:lineRule="auto"/>
        <w:rPr>
          <w:rFonts w:ascii="Arial" w:hAnsi="Arial" w:cs="Arial"/>
          <w:lang w:val="ru-RU"/>
        </w:rPr>
      </w:pPr>
      <w:r w:rsidRPr="007C1299">
        <w:rPr>
          <w:rFonts w:ascii="Arial" w:hAnsi="Arial" w:cs="Arial"/>
          <w:lang w:val="ru"/>
        </w:rPr>
        <w:t>«Я хотел бы поблагодарить почти 4</w:t>
      </w:r>
      <w:r w:rsidR="00CD6386">
        <w:rPr>
          <w:rFonts w:ascii="Arial" w:hAnsi="Arial" w:cs="Arial"/>
          <w:lang w:val="ru"/>
        </w:rPr>
        <w:t xml:space="preserve"> </w:t>
      </w:r>
      <w:r w:rsidRPr="007C1299">
        <w:rPr>
          <w:rFonts w:ascii="Arial" w:hAnsi="Arial" w:cs="Arial"/>
          <w:lang w:val="ru"/>
        </w:rPr>
        <w:t xml:space="preserve">000 специалистов </w:t>
      </w:r>
      <w:proofErr w:type="spellStart"/>
      <w:r w:rsidRPr="007C1299">
        <w:rPr>
          <w:rFonts w:ascii="Arial" w:hAnsi="Arial" w:cs="Arial"/>
          <w:lang w:val="ru"/>
        </w:rPr>
        <w:t>Noventiq</w:t>
      </w:r>
      <w:proofErr w:type="spellEnd"/>
      <w:r w:rsidRPr="007C1299">
        <w:rPr>
          <w:rFonts w:ascii="Arial" w:hAnsi="Arial" w:cs="Arial"/>
          <w:lang w:val="ru"/>
        </w:rPr>
        <w:t xml:space="preserve"> за их </w:t>
      </w:r>
      <w:r>
        <w:rPr>
          <w:rFonts w:ascii="Arial" w:hAnsi="Arial" w:cs="Arial"/>
          <w:lang w:val="ru"/>
        </w:rPr>
        <w:t>профессионализм</w:t>
      </w:r>
      <w:r w:rsidRPr="007C1299">
        <w:rPr>
          <w:rFonts w:ascii="Arial" w:hAnsi="Arial" w:cs="Arial"/>
          <w:lang w:val="ru"/>
        </w:rPr>
        <w:t xml:space="preserve"> и </w:t>
      </w:r>
      <w:r w:rsidR="002C4E8C">
        <w:rPr>
          <w:rFonts w:ascii="Arial" w:hAnsi="Arial" w:cs="Arial"/>
          <w:lang w:val="ru"/>
        </w:rPr>
        <w:t>неизменную клиентоориентированность</w:t>
      </w:r>
      <w:r w:rsidRPr="007C1299">
        <w:rPr>
          <w:rFonts w:ascii="Arial" w:hAnsi="Arial" w:cs="Arial"/>
          <w:lang w:val="ru"/>
        </w:rPr>
        <w:t xml:space="preserve">. Я горжусь тем, что мы выполнили обязательства, которые взяли на себя 90 дней назад. Мы добились огромного роста </w:t>
      </w:r>
      <w:r w:rsidR="00CD6386">
        <w:rPr>
          <w:rFonts w:ascii="Arial" w:hAnsi="Arial" w:cs="Arial"/>
          <w:lang w:val="ru"/>
        </w:rPr>
        <w:t>оборота</w:t>
      </w:r>
      <w:r w:rsidRPr="007C1299">
        <w:rPr>
          <w:rFonts w:ascii="Arial" w:hAnsi="Arial" w:cs="Arial"/>
          <w:lang w:val="ru"/>
        </w:rPr>
        <w:t xml:space="preserve"> во 2 квартале</w:t>
      </w:r>
      <w:r w:rsidR="00CD6386">
        <w:rPr>
          <w:rFonts w:ascii="Arial" w:hAnsi="Arial" w:cs="Arial"/>
          <w:lang w:val="ru"/>
        </w:rPr>
        <w:t xml:space="preserve">, </w:t>
      </w:r>
      <w:r w:rsidRPr="007C1299">
        <w:rPr>
          <w:rFonts w:ascii="Arial" w:hAnsi="Arial" w:cs="Arial"/>
          <w:lang w:val="ru"/>
        </w:rPr>
        <w:t xml:space="preserve">на 48% в постоянной валюте, что значительно превысило наши бизнес-прогнозы. Я особенно доволен широким охватом бизнеса: во всех четырех регионах наблюдается впечатляющий двузначный рост </w:t>
      </w:r>
      <w:r w:rsidR="00CD6386">
        <w:rPr>
          <w:rFonts w:ascii="Arial" w:hAnsi="Arial" w:cs="Arial"/>
          <w:lang w:val="ru"/>
        </w:rPr>
        <w:t>оборота</w:t>
      </w:r>
      <w:r w:rsidRPr="007C1299">
        <w:rPr>
          <w:rFonts w:ascii="Arial" w:hAnsi="Arial" w:cs="Arial"/>
          <w:lang w:val="ru"/>
        </w:rPr>
        <w:t xml:space="preserve">. Другой невероятно важный результат — это рост валовой прибыли на 77%. Он значительно опередил рост </w:t>
      </w:r>
      <w:r w:rsidR="002C4E8C">
        <w:rPr>
          <w:rFonts w:ascii="Arial" w:hAnsi="Arial" w:cs="Arial"/>
          <w:lang w:val="ru"/>
        </w:rPr>
        <w:t>выручки</w:t>
      </w:r>
      <w:r w:rsidR="002C4E8C" w:rsidRPr="007C1299">
        <w:rPr>
          <w:rFonts w:ascii="Arial" w:hAnsi="Arial" w:cs="Arial"/>
          <w:lang w:val="ru"/>
        </w:rPr>
        <w:t xml:space="preserve"> </w:t>
      </w:r>
      <w:r w:rsidRPr="007C1299">
        <w:rPr>
          <w:rFonts w:ascii="Arial" w:hAnsi="Arial" w:cs="Arial"/>
          <w:lang w:val="ru"/>
        </w:rPr>
        <w:t xml:space="preserve">и превзошел наши прогнозы. В то же время мы инвестировали в развитие и трансформацию нашего </w:t>
      </w:r>
      <w:r>
        <w:rPr>
          <w:rFonts w:ascii="Arial" w:hAnsi="Arial" w:cs="Arial"/>
          <w:lang w:val="ru"/>
        </w:rPr>
        <w:t xml:space="preserve">бизнеса </w:t>
      </w:r>
      <w:r w:rsidRPr="007C1299">
        <w:rPr>
          <w:rFonts w:ascii="Arial" w:hAnsi="Arial" w:cs="Arial"/>
          <w:lang w:val="ru"/>
        </w:rPr>
        <w:t>с беспрецедентной скоростью и размахом. Мы полностью сфокусированы на наших ключевых стратегических приоритетах, и мы создали лучшие, чем когда-либо прежде, условия для продолжения реализации нашей стратегии долгосрочного прибыльного роста».</w:t>
      </w:r>
    </w:p>
    <w:p w:rsidR="004A22F0" w:rsidRPr="00685672" w:rsidRDefault="004A22F0" w:rsidP="004A22F0">
      <w:pPr>
        <w:autoSpaceDE w:val="0"/>
        <w:autoSpaceDN w:val="0"/>
        <w:spacing w:line="24" w:lineRule="atLeast"/>
        <w:jc w:val="both"/>
        <w:rPr>
          <w:rFonts w:ascii="Arial" w:hAnsi="Arial" w:cs="Arial"/>
          <w:b/>
          <w:bCs/>
          <w:lang w:val="ru-RU"/>
        </w:rPr>
      </w:pPr>
    </w:p>
    <w:p w:rsidR="004A22F0" w:rsidRPr="00685672" w:rsidRDefault="00C26BB2" w:rsidP="004A22F0">
      <w:pPr>
        <w:autoSpaceDE w:val="0"/>
        <w:autoSpaceDN w:val="0"/>
        <w:spacing w:line="24" w:lineRule="atLeast"/>
        <w:jc w:val="both"/>
        <w:rPr>
          <w:rFonts w:ascii="Arial" w:hAnsi="Arial" w:cs="Arial"/>
          <w:b/>
          <w:bCs/>
          <w:lang w:val="ru-RU"/>
        </w:rPr>
      </w:pPr>
      <w:r w:rsidRPr="00D8335C">
        <w:rPr>
          <w:rFonts w:ascii="Arial" w:hAnsi="Arial" w:cs="Arial"/>
          <w:b/>
          <w:bCs/>
          <w:lang w:val="ru"/>
        </w:rPr>
        <w:t xml:space="preserve">Жак </w:t>
      </w:r>
      <w:proofErr w:type="spellStart"/>
      <w:r w:rsidRPr="00D8335C">
        <w:rPr>
          <w:rFonts w:ascii="Arial" w:hAnsi="Arial" w:cs="Arial"/>
          <w:b/>
          <w:bCs/>
          <w:lang w:val="ru"/>
        </w:rPr>
        <w:t>Герс</w:t>
      </w:r>
      <w:proofErr w:type="spellEnd"/>
      <w:r w:rsidRPr="00D8335C">
        <w:rPr>
          <w:rFonts w:ascii="Arial" w:hAnsi="Arial" w:cs="Arial"/>
          <w:b/>
          <w:bCs/>
          <w:lang w:val="ru"/>
        </w:rPr>
        <w:t xml:space="preserve"> (</w:t>
      </w:r>
      <w:proofErr w:type="spellStart"/>
      <w:r w:rsidRPr="00D8335C">
        <w:rPr>
          <w:rFonts w:ascii="Arial" w:hAnsi="Arial" w:cs="Arial"/>
          <w:b/>
          <w:bCs/>
          <w:lang w:val="ru"/>
        </w:rPr>
        <w:t>Jacques</w:t>
      </w:r>
      <w:proofErr w:type="spellEnd"/>
      <w:r w:rsidRPr="00D8335C">
        <w:rPr>
          <w:rFonts w:ascii="Arial" w:hAnsi="Arial" w:cs="Arial"/>
          <w:b/>
          <w:bCs/>
          <w:lang w:val="ru"/>
        </w:rPr>
        <w:t xml:space="preserve"> </w:t>
      </w:r>
      <w:proofErr w:type="spellStart"/>
      <w:r w:rsidRPr="00D8335C">
        <w:rPr>
          <w:rFonts w:ascii="Arial" w:hAnsi="Arial" w:cs="Arial"/>
          <w:b/>
          <w:bCs/>
          <w:lang w:val="ru"/>
        </w:rPr>
        <w:t>Guers</w:t>
      </w:r>
      <w:proofErr w:type="spellEnd"/>
      <w:r w:rsidRPr="00D8335C">
        <w:rPr>
          <w:rFonts w:ascii="Arial" w:hAnsi="Arial" w:cs="Arial"/>
          <w:b/>
          <w:bCs/>
          <w:lang w:val="ru"/>
        </w:rPr>
        <w:t>), председатель совета директоров Noventiq, отметил:</w:t>
      </w:r>
    </w:p>
    <w:p w:rsidR="004A22F0" w:rsidRPr="00685672" w:rsidRDefault="00C26BB2" w:rsidP="007C1299">
      <w:pPr>
        <w:spacing w:after="0" w:line="312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"/>
        </w:rPr>
        <w:t>«На протяжении этого года мы очень успешно справлялись со значительными изменениями в бизнесе в контексте сложной динамики рынка. В октябре мы успешно завершили продажу российского бизнеса и вступили в новую эру под брендом Noventiq. Этот бренд отражает изменения в технологиях за последние 20 лет. Компаниям и организациям по всему миру требуются интеллектуальные инновационные решения, нацеленные на улучшение результатов их бизнеса. Noventiq — это сильная независимая компания, которая опирается на более чем 25-летний богатый опыт на технологическом рынке. Ее преимущества — прочная финансовая основа, отличная репутация и очень опытная управленческая команда. Компания быстро растет и расширяет свой охват — в настоящее время она работает в более чем 60 странах. Мы нашли правильную формулу роста: мы продолжаем использовать наши глобальные связи для достижения локальных результатов для наших клиентов по всему миру».</w:t>
      </w:r>
    </w:p>
    <w:bookmarkEnd w:id="0"/>
    <w:p w:rsidR="004A22F0" w:rsidRPr="00685672" w:rsidRDefault="004A22F0" w:rsidP="00683B87">
      <w:pPr>
        <w:spacing w:after="0" w:line="312" w:lineRule="auto"/>
        <w:rPr>
          <w:rFonts w:ascii="Arial" w:hAnsi="Arial" w:cs="Arial"/>
          <w:lang w:val="ru-RU"/>
        </w:rPr>
      </w:pPr>
    </w:p>
    <w:p w:rsidR="00224232" w:rsidRPr="00AE07B3" w:rsidRDefault="00C26BB2" w:rsidP="00224232">
      <w:pPr>
        <w:autoSpaceDE w:val="0"/>
        <w:autoSpaceDN w:val="0"/>
        <w:spacing w:line="24" w:lineRule="atLeast"/>
        <w:jc w:val="both"/>
        <w:rPr>
          <w:rFonts w:ascii="Arial" w:hAnsi="Arial" w:cs="Arial"/>
          <w:b/>
          <w:bCs/>
        </w:rPr>
      </w:pPr>
      <w:r w:rsidRPr="00AE07B3">
        <w:rPr>
          <w:rFonts w:ascii="Arial" w:hAnsi="Arial" w:cs="Arial"/>
          <w:b/>
          <w:bCs/>
          <w:lang w:val="ru"/>
        </w:rPr>
        <w:t>Ключевые показатели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1306"/>
        <w:gridCol w:w="1164"/>
        <w:gridCol w:w="1428"/>
        <w:gridCol w:w="1428"/>
        <w:gridCol w:w="1428"/>
        <w:gridCol w:w="1428"/>
        <w:gridCol w:w="1264"/>
        <w:gridCol w:w="1004"/>
      </w:tblGrid>
      <w:tr w:rsidR="001F37ED" w:rsidTr="00842029">
        <w:trPr>
          <w:trHeight w:val="569"/>
        </w:trPr>
        <w:tc>
          <w:tcPr>
            <w:tcW w:w="1306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nil"/>
            </w:tcBorders>
            <w:shd w:val="solid" w:color="333399" w:fill="auto"/>
          </w:tcPr>
          <w:p w:rsidR="00313136" w:rsidRPr="00313136" w:rsidRDefault="0031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FFFF" w:themeColor="background1"/>
                <w:lang w:val="ru-RU"/>
              </w:rPr>
            </w:pPr>
          </w:p>
        </w:tc>
        <w:tc>
          <w:tcPr>
            <w:tcW w:w="1164" w:type="dxa"/>
            <w:tcBorders>
              <w:top w:val="single" w:sz="12" w:space="0" w:color="333399"/>
              <w:left w:val="nil"/>
              <w:bottom w:val="single" w:sz="12" w:space="0" w:color="333399"/>
              <w:right w:val="nil"/>
            </w:tcBorders>
            <w:shd w:val="solid" w:color="333399" w:fill="auto"/>
          </w:tcPr>
          <w:p w:rsidR="00313136" w:rsidRPr="00313136" w:rsidRDefault="0031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</w:pPr>
          </w:p>
        </w:tc>
        <w:tc>
          <w:tcPr>
            <w:tcW w:w="1428" w:type="dxa"/>
            <w:tcBorders>
              <w:top w:val="single" w:sz="12" w:space="0" w:color="333399"/>
              <w:left w:val="nil"/>
              <w:bottom w:val="single" w:sz="12" w:space="0" w:color="333399"/>
              <w:right w:val="nil"/>
            </w:tcBorders>
            <w:shd w:val="solid" w:color="333399" w:fill="auto"/>
          </w:tcPr>
          <w:p w:rsidR="00313136" w:rsidRPr="00842029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13136">
              <w:rPr>
                <w:rFonts w:ascii="Arial" w:hAnsi="Arial" w:cs="Arial"/>
                <w:b/>
                <w:bCs/>
                <w:color w:val="FFFFFF" w:themeColor="background1"/>
                <w:lang w:val="ru"/>
              </w:rPr>
              <w:t>1</w:t>
            </w:r>
            <w:r w:rsidR="00966CA7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>П</w:t>
            </w:r>
            <w:r w:rsidRPr="00313136">
              <w:rPr>
                <w:rFonts w:ascii="Arial" w:hAnsi="Arial" w:cs="Arial"/>
                <w:b/>
                <w:bCs/>
                <w:color w:val="FFFFFF" w:themeColor="background1"/>
                <w:lang w:val="ru"/>
              </w:rPr>
              <w:t xml:space="preserve"> 2022*</w:t>
            </w:r>
          </w:p>
        </w:tc>
        <w:tc>
          <w:tcPr>
            <w:tcW w:w="1428" w:type="dxa"/>
            <w:tcBorders>
              <w:top w:val="single" w:sz="12" w:space="0" w:color="333399"/>
              <w:left w:val="nil"/>
              <w:bottom w:val="single" w:sz="12" w:space="0" w:color="333399"/>
              <w:right w:val="nil"/>
            </w:tcBorders>
            <w:shd w:val="solid" w:color="333399" w:fill="auto"/>
          </w:tcPr>
          <w:p w:rsidR="00313136" w:rsidRPr="00313136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</w:pPr>
            <w:r w:rsidRPr="00313136">
              <w:rPr>
                <w:rFonts w:ascii="Arial" w:hAnsi="Arial" w:cs="Arial"/>
                <w:b/>
                <w:bCs/>
                <w:color w:val="FFFFFF" w:themeColor="background1"/>
                <w:lang w:val="ru"/>
              </w:rPr>
              <w:t>1</w:t>
            </w:r>
            <w:r w:rsidR="00966CA7">
              <w:rPr>
                <w:rFonts w:ascii="Arial" w:hAnsi="Arial" w:cs="Arial"/>
                <w:b/>
                <w:bCs/>
                <w:color w:val="FFFFFF" w:themeColor="background1"/>
                <w:lang w:val="ru"/>
              </w:rPr>
              <w:t>П</w:t>
            </w:r>
            <w:r w:rsidRPr="00313136">
              <w:rPr>
                <w:rFonts w:ascii="Arial" w:hAnsi="Arial" w:cs="Arial"/>
                <w:b/>
                <w:bCs/>
                <w:color w:val="FFFFFF" w:themeColor="background1"/>
                <w:lang w:val="ru"/>
              </w:rPr>
              <w:t xml:space="preserve"> 2021</w:t>
            </w:r>
          </w:p>
        </w:tc>
        <w:tc>
          <w:tcPr>
            <w:tcW w:w="1428" w:type="dxa"/>
            <w:tcBorders>
              <w:top w:val="single" w:sz="12" w:space="0" w:color="333399"/>
              <w:left w:val="nil"/>
              <w:bottom w:val="single" w:sz="12" w:space="0" w:color="333399"/>
              <w:right w:val="nil"/>
            </w:tcBorders>
            <w:shd w:val="solid" w:color="333399" w:fill="auto"/>
          </w:tcPr>
          <w:p w:rsidR="00313136" w:rsidRPr="00313136" w:rsidRDefault="00C2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</w:pPr>
            <w:r w:rsidRPr="00313136">
              <w:rPr>
                <w:rFonts w:ascii="Arial" w:hAnsi="Arial" w:cs="Arial"/>
                <w:b/>
                <w:bCs/>
                <w:color w:val="FFFFFF" w:themeColor="background1"/>
                <w:lang w:val="ru"/>
              </w:rPr>
              <w:t>%</w:t>
            </w:r>
          </w:p>
        </w:tc>
        <w:tc>
          <w:tcPr>
            <w:tcW w:w="1428" w:type="dxa"/>
            <w:tcBorders>
              <w:top w:val="single" w:sz="12" w:space="0" w:color="333399"/>
              <w:left w:val="nil"/>
              <w:bottom w:val="single" w:sz="12" w:space="0" w:color="333399"/>
              <w:right w:val="nil"/>
            </w:tcBorders>
            <w:shd w:val="solid" w:color="333399" w:fill="auto"/>
          </w:tcPr>
          <w:p w:rsidR="00313136" w:rsidRPr="00313136" w:rsidRDefault="00C2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</w:pPr>
            <w:r w:rsidRPr="00313136">
              <w:rPr>
                <w:rFonts w:ascii="Arial" w:hAnsi="Arial" w:cs="Arial"/>
                <w:b/>
                <w:bCs/>
                <w:color w:val="FFFFFF" w:themeColor="background1"/>
                <w:lang w:val="ru"/>
              </w:rPr>
              <w:t>2</w:t>
            </w:r>
            <w:r w:rsidR="00966CA7">
              <w:rPr>
                <w:rFonts w:ascii="Arial" w:hAnsi="Arial" w:cs="Arial"/>
                <w:b/>
                <w:bCs/>
                <w:color w:val="FFFFFF" w:themeColor="background1"/>
                <w:lang w:val="ru"/>
              </w:rPr>
              <w:t>К</w:t>
            </w:r>
            <w:r w:rsidRPr="00313136">
              <w:rPr>
                <w:rFonts w:ascii="Arial" w:hAnsi="Arial" w:cs="Arial"/>
                <w:b/>
                <w:bCs/>
                <w:color w:val="FFFFFF" w:themeColor="background1"/>
                <w:lang w:val="ru"/>
              </w:rPr>
              <w:t xml:space="preserve"> 2022</w:t>
            </w:r>
          </w:p>
        </w:tc>
        <w:tc>
          <w:tcPr>
            <w:tcW w:w="1264" w:type="dxa"/>
            <w:tcBorders>
              <w:top w:val="single" w:sz="12" w:space="0" w:color="333399"/>
              <w:left w:val="nil"/>
              <w:bottom w:val="single" w:sz="12" w:space="0" w:color="333399"/>
              <w:right w:val="nil"/>
            </w:tcBorders>
            <w:shd w:val="solid" w:color="333399" w:fill="auto"/>
          </w:tcPr>
          <w:p w:rsidR="00313136" w:rsidRPr="00313136" w:rsidRDefault="00C2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</w:pPr>
            <w:r w:rsidRPr="00313136">
              <w:rPr>
                <w:rFonts w:ascii="Arial" w:hAnsi="Arial" w:cs="Arial"/>
                <w:b/>
                <w:bCs/>
                <w:color w:val="FFFFFF" w:themeColor="background1"/>
                <w:lang w:val="ru"/>
              </w:rPr>
              <w:t xml:space="preserve">  2</w:t>
            </w:r>
            <w:r w:rsidR="00966CA7">
              <w:rPr>
                <w:rFonts w:ascii="Arial" w:hAnsi="Arial" w:cs="Arial"/>
                <w:b/>
                <w:bCs/>
                <w:color w:val="FFFFFF" w:themeColor="background1"/>
                <w:lang w:val="ru"/>
              </w:rPr>
              <w:t>К</w:t>
            </w:r>
            <w:r w:rsidRPr="00313136">
              <w:rPr>
                <w:rFonts w:ascii="Arial" w:hAnsi="Arial" w:cs="Arial"/>
                <w:b/>
                <w:bCs/>
                <w:color w:val="FFFFFF" w:themeColor="background1"/>
                <w:lang w:val="ru"/>
              </w:rPr>
              <w:t xml:space="preserve"> 2021</w:t>
            </w:r>
          </w:p>
        </w:tc>
        <w:tc>
          <w:tcPr>
            <w:tcW w:w="1004" w:type="dxa"/>
            <w:tcBorders>
              <w:top w:val="single" w:sz="12" w:space="0" w:color="333399"/>
              <w:left w:val="nil"/>
              <w:bottom w:val="single" w:sz="12" w:space="0" w:color="333399"/>
              <w:right w:val="single" w:sz="12" w:space="0" w:color="333399"/>
            </w:tcBorders>
            <w:shd w:val="solid" w:color="333399" w:fill="auto"/>
          </w:tcPr>
          <w:p w:rsidR="00313136" w:rsidRPr="00313136" w:rsidRDefault="00C2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</w:pPr>
            <w:r w:rsidRPr="00313136">
              <w:rPr>
                <w:rFonts w:ascii="Arial" w:hAnsi="Arial" w:cs="Arial"/>
                <w:b/>
                <w:bCs/>
                <w:color w:val="FFFFFF" w:themeColor="background1"/>
                <w:lang w:val="ru"/>
              </w:rPr>
              <w:t xml:space="preserve">% </w:t>
            </w:r>
          </w:p>
        </w:tc>
      </w:tr>
      <w:tr w:rsidR="001F37ED" w:rsidTr="00313136">
        <w:trPr>
          <w:trHeight w:val="302"/>
        </w:trPr>
        <w:tc>
          <w:tcPr>
            <w:tcW w:w="2470" w:type="dxa"/>
            <w:gridSpan w:val="2"/>
            <w:tcBorders>
              <w:top w:val="single" w:sz="12" w:space="0" w:color="333399"/>
              <w:left w:val="single" w:sz="12" w:space="0" w:color="33CCCC"/>
              <w:bottom w:val="single" w:sz="12" w:space="0" w:color="33CCCC"/>
              <w:right w:val="single" w:sz="12" w:space="0" w:color="33CCCC"/>
            </w:tcBorders>
            <w:shd w:val="solid" w:color="CCCCFF" w:fill="auto"/>
          </w:tcPr>
          <w:p w:rsidR="00313136" w:rsidRDefault="007E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"/>
              </w:rPr>
              <w:t>Оборот</w:t>
            </w:r>
            <w:r w:rsidR="00C26BB2">
              <w:rPr>
                <w:rFonts w:ascii="Arial" w:hAnsi="Arial" w:cs="Arial"/>
                <w:b/>
                <w:bCs/>
                <w:color w:val="000000"/>
                <w:lang w:val="ru"/>
              </w:rPr>
              <w:t xml:space="preserve"> (тыс. долл.)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  <w:shd w:val="solid" w:color="CCCCFF" w:fill="auto"/>
          </w:tcPr>
          <w:p w:rsidR="00313136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"/>
              </w:rPr>
              <w:t>691 089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  <w:shd w:val="solid" w:color="CCCCFF" w:fill="auto"/>
          </w:tcPr>
          <w:p w:rsidR="00313136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"/>
              </w:rPr>
              <w:t>522 542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  <w:shd w:val="solid" w:color="CCCCFF" w:fill="auto"/>
          </w:tcPr>
          <w:p w:rsidR="00313136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"/>
              </w:rPr>
              <w:t>32%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  <w:shd w:val="solid" w:color="CCCCFF" w:fill="auto"/>
          </w:tcPr>
          <w:p w:rsidR="00313136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"/>
              </w:rPr>
              <w:t>320 361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  <w:shd w:val="solid" w:color="CCCCFF" w:fill="auto"/>
          </w:tcPr>
          <w:p w:rsidR="00313136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"/>
              </w:rPr>
              <w:t>237 940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  <w:shd w:val="solid" w:color="CCCCFF" w:fill="auto"/>
          </w:tcPr>
          <w:p w:rsidR="00313136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"/>
              </w:rPr>
              <w:t>35%</w:t>
            </w:r>
          </w:p>
        </w:tc>
      </w:tr>
      <w:tr w:rsidR="001F37ED" w:rsidTr="00313136">
        <w:trPr>
          <w:trHeight w:val="701"/>
        </w:trPr>
        <w:tc>
          <w:tcPr>
            <w:tcW w:w="2470" w:type="dxa"/>
            <w:gridSpan w:val="2"/>
            <w:tcBorders>
              <w:top w:val="single" w:sz="12" w:space="0" w:color="33CCCC"/>
              <w:left w:val="single" w:sz="12" w:space="0" w:color="33CCCC"/>
              <w:bottom w:val="single" w:sz="12" w:space="0" w:color="33CCCC"/>
              <w:right w:val="single" w:sz="12" w:space="0" w:color="33CCCC"/>
            </w:tcBorders>
          </w:tcPr>
          <w:p w:rsidR="00313136" w:rsidRDefault="002C4E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"/>
              </w:rPr>
              <w:t>Доля рекуррентного бизнеса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</w:tcPr>
          <w:p w:rsidR="00313136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"/>
              </w:rPr>
              <w:t>73%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</w:tcPr>
          <w:p w:rsidR="00313136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"/>
              </w:rPr>
              <w:t>60%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</w:tcPr>
          <w:p w:rsidR="00313136" w:rsidRDefault="0031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</w:tcPr>
          <w:p w:rsidR="00313136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"/>
              </w:rPr>
              <w:t>66%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</w:tcPr>
          <w:p w:rsidR="00313136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"/>
              </w:rPr>
              <w:t>61%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</w:tcPr>
          <w:p w:rsidR="00313136" w:rsidRDefault="0031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1F37ED" w:rsidTr="00842029">
        <w:trPr>
          <w:trHeight w:val="302"/>
        </w:trPr>
        <w:tc>
          <w:tcPr>
            <w:tcW w:w="1306" w:type="dxa"/>
            <w:tcBorders>
              <w:top w:val="single" w:sz="12" w:space="0" w:color="33CCCC"/>
              <w:left w:val="single" w:sz="12" w:space="0" w:color="33CCCC"/>
              <w:bottom w:val="single" w:sz="12" w:space="0" w:color="33CCCC"/>
              <w:right w:val="nil"/>
            </w:tcBorders>
            <w:shd w:val="solid" w:color="CCCCFF" w:fill="auto"/>
          </w:tcPr>
          <w:p w:rsidR="00313136" w:rsidRDefault="0031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164" w:type="dxa"/>
            <w:tcBorders>
              <w:top w:val="single" w:sz="12" w:space="0" w:color="33CCCC"/>
              <w:left w:val="nil"/>
              <w:bottom w:val="single" w:sz="12" w:space="0" w:color="33CCCC"/>
              <w:right w:val="single" w:sz="12" w:space="0" w:color="33CCCC"/>
            </w:tcBorders>
            <w:shd w:val="solid" w:color="CCCCFF" w:fill="auto"/>
          </w:tcPr>
          <w:p w:rsidR="00313136" w:rsidRDefault="0031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  <w:shd w:val="solid" w:color="CCCCFF" w:fill="auto"/>
          </w:tcPr>
          <w:p w:rsidR="00313136" w:rsidRDefault="0031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  <w:shd w:val="solid" w:color="CCCCFF" w:fill="auto"/>
          </w:tcPr>
          <w:p w:rsidR="00313136" w:rsidRDefault="0031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  <w:shd w:val="solid" w:color="CCCCFF" w:fill="auto"/>
          </w:tcPr>
          <w:p w:rsidR="00313136" w:rsidRDefault="0031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  <w:shd w:val="solid" w:color="CCCCFF" w:fill="auto"/>
          </w:tcPr>
          <w:p w:rsidR="00313136" w:rsidRDefault="0031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  <w:shd w:val="solid" w:color="CCCCFF" w:fill="auto"/>
          </w:tcPr>
          <w:p w:rsidR="00313136" w:rsidRDefault="0031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  <w:shd w:val="solid" w:color="CCCCFF" w:fill="auto"/>
          </w:tcPr>
          <w:p w:rsidR="00313136" w:rsidRDefault="0031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1F37ED" w:rsidRPr="00147AAF" w:rsidTr="00313136">
        <w:trPr>
          <w:trHeight w:val="302"/>
        </w:trPr>
        <w:tc>
          <w:tcPr>
            <w:tcW w:w="3898" w:type="dxa"/>
            <w:gridSpan w:val="3"/>
            <w:tcBorders>
              <w:top w:val="single" w:sz="12" w:space="0" w:color="33CCCC"/>
              <w:left w:val="single" w:sz="12" w:space="0" w:color="33CCCC"/>
              <w:bottom w:val="single" w:sz="12" w:space="0" w:color="33CCCC"/>
              <w:right w:val="nil"/>
            </w:tcBorders>
          </w:tcPr>
          <w:p w:rsidR="00313136" w:rsidRDefault="0030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"/>
              </w:rPr>
              <w:t xml:space="preserve">Оборот </w:t>
            </w:r>
            <w:r w:rsidR="00C26BB2">
              <w:rPr>
                <w:rFonts w:ascii="Arial" w:hAnsi="Arial" w:cs="Arial"/>
                <w:b/>
                <w:bCs/>
                <w:color w:val="000000"/>
                <w:lang w:val="ru"/>
              </w:rPr>
              <w:t xml:space="preserve">по </w:t>
            </w:r>
            <w:r w:rsidR="007E6BF2">
              <w:rPr>
                <w:rFonts w:ascii="Arial" w:hAnsi="Arial" w:cs="Arial"/>
                <w:b/>
                <w:bCs/>
                <w:color w:val="000000"/>
                <w:lang w:val="ru"/>
              </w:rPr>
              <w:t>сегментам</w:t>
            </w:r>
            <w:r w:rsidR="00C26BB2">
              <w:rPr>
                <w:rFonts w:ascii="Arial" w:hAnsi="Arial" w:cs="Arial"/>
                <w:b/>
                <w:bCs/>
                <w:color w:val="000000"/>
                <w:lang w:val="ru"/>
              </w:rPr>
              <w:t xml:space="preserve"> (тыс. долл.)</w:t>
            </w:r>
          </w:p>
        </w:tc>
        <w:tc>
          <w:tcPr>
            <w:tcW w:w="1428" w:type="dxa"/>
            <w:tcBorders>
              <w:top w:val="single" w:sz="12" w:space="0" w:color="33CCCC"/>
              <w:left w:val="nil"/>
              <w:bottom w:val="single" w:sz="12" w:space="0" w:color="33CCCC"/>
              <w:right w:val="single" w:sz="12" w:space="0" w:color="33CCCC"/>
            </w:tcBorders>
          </w:tcPr>
          <w:p w:rsidR="00313136" w:rsidRDefault="0031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</w:tcPr>
          <w:p w:rsidR="00313136" w:rsidRDefault="0031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</w:tcPr>
          <w:p w:rsidR="00313136" w:rsidRDefault="0031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</w:tcPr>
          <w:p w:rsidR="00313136" w:rsidRDefault="0031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</w:tcPr>
          <w:p w:rsidR="00313136" w:rsidRDefault="0031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1F37ED" w:rsidTr="00313136">
        <w:trPr>
          <w:trHeight w:val="302"/>
        </w:trPr>
        <w:tc>
          <w:tcPr>
            <w:tcW w:w="2470" w:type="dxa"/>
            <w:gridSpan w:val="2"/>
            <w:tcBorders>
              <w:top w:val="single" w:sz="12" w:space="0" w:color="33CCCC"/>
              <w:left w:val="single" w:sz="12" w:space="0" w:color="33CCCC"/>
              <w:bottom w:val="single" w:sz="12" w:space="0" w:color="33CCCC"/>
              <w:right w:val="single" w:sz="12" w:space="0" w:color="33CCCC"/>
            </w:tcBorders>
            <w:shd w:val="solid" w:color="FFFFFF" w:fill="auto"/>
          </w:tcPr>
          <w:p w:rsidR="00313136" w:rsidRDefault="00C2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"/>
              </w:rPr>
              <w:lastRenderedPageBreak/>
              <w:t>Программное обеспечение и облака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  <w:shd w:val="solid" w:color="FFFFFF" w:fill="auto"/>
          </w:tcPr>
          <w:p w:rsidR="00313136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"/>
              </w:rPr>
              <w:t>596 418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  <w:shd w:val="solid" w:color="FFFFFF" w:fill="auto"/>
          </w:tcPr>
          <w:p w:rsidR="00313136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"/>
              </w:rPr>
              <w:t>478 549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  <w:shd w:val="solid" w:color="FFFFFF" w:fill="auto"/>
          </w:tcPr>
          <w:p w:rsidR="00313136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"/>
              </w:rPr>
              <w:t>25%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  <w:shd w:val="solid" w:color="FFFFFF" w:fill="auto"/>
          </w:tcPr>
          <w:p w:rsidR="00313136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"/>
              </w:rPr>
              <w:t>264 646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  <w:shd w:val="solid" w:color="FFFFFF" w:fill="auto"/>
          </w:tcPr>
          <w:p w:rsidR="00313136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"/>
              </w:rPr>
              <w:t>214 959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  <w:shd w:val="solid" w:color="FFFFFF" w:fill="auto"/>
          </w:tcPr>
          <w:p w:rsidR="00313136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"/>
              </w:rPr>
              <w:t>23%</w:t>
            </w:r>
          </w:p>
        </w:tc>
      </w:tr>
      <w:tr w:rsidR="001F37ED" w:rsidTr="00313136">
        <w:trPr>
          <w:trHeight w:val="302"/>
        </w:trPr>
        <w:tc>
          <w:tcPr>
            <w:tcW w:w="2470" w:type="dxa"/>
            <w:gridSpan w:val="2"/>
            <w:tcBorders>
              <w:top w:val="single" w:sz="12" w:space="0" w:color="33CCCC"/>
              <w:left w:val="single" w:sz="12" w:space="0" w:color="33CCCC"/>
              <w:bottom w:val="single" w:sz="12" w:space="0" w:color="33CCCC"/>
              <w:right w:val="single" w:sz="12" w:space="0" w:color="33CCCC"/>
            </w:tcBorders>
          </w:tcPr>
          <w:p w:rsidR="00313136" w:rsidRDefault="00C2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"/>
              </w:rPr>
              <w:t>ИТ-сервисы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  <w:shd w:val="solid" w:color="FFFFFF" w:fill="auto"/>
          </w:tcPr>
          <w:p w:rsidR="00313136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"/>
              </w:rPr>
              <w:t>61 344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  <w:shd w:val="solid" w:color="FFFFFF" w:fill="auto"/>
          </w:tcPr>
          <w:p w:rsidR="00313136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"/>
              </w:rPr>
              <w:t>30 465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  <w:shd w:val="solid" w:color="FFFFFF" w:fill="auto"/>
          </w:tcPr>
          <w:p w:rsidR="00313136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"/>
              </w:rPr>
              <w:t>101%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  <w:shd w:val="solid" w:color="FFFFFF" w:fill="auto"/>
          </w:tcPr>
          <w:p w:rsidR="00313136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"/>
              </w:rPr>
              <w:t>31 315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  <w:shd w:val="solid" w:color="FFFFFF" w:fill="auto"/>
          </w:tcPr>
          <w:p w:rsidR="00313136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"/>
              </w:rPr>
              <w:t>15 281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  <w:shd w:val="solid" w:color="FFFFFF" w:fill="auto"/>
          </w:tcPr>
          <w:p w:rsidR="00313136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"/>
              </w:rPr>
              <w:t>105%</w:t>
            </w:r>
          </w:p>
        </w:tc>
      </w:tr>
      <w:tr w:rsidR="002C4E8C" w:rsidTr="00C26BB2">
        <w:trPr>
          <w:trHeight w:val="302"/>
        </w:trPr>
        <w:tc>
          <w:tcPr>
            <w:tcW w:w="2470" w:type="dxa"/>
            <w:gridSpan w:val="2"/>
            <w:tcBorders>
              <w:top w:val="single" w:sz="12" w:space="0" w:color="33CCCC"/>
              <w:left w:val="single" w:sz="12" w:space="0" w:color="33CCCC"/>
              <w:bottom w:val="single" w:sz="12" w:space="0" w:color="33CCCC"/>
              <w:right w:val="single" w:sz="12" w:space="0" w:color="33CCCC"/>
            </w:tcBorders>
            <w:shd w:val="solid" w:color="FFFFFF" w:fill="auto"/>
          </w:tcPr>
          <w:p w:rsidR="002C4E8C" w:rsidRDefault="002C4E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"/>
              </w:rPr>
              <w:t>Аппаратное обеспечение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  <w:shd w:val="solid" w:color="FFFFFF" w:fill="auto"/>
          </w:tcPr>
          <w:p w:rsidR="002C4E8C" w:rsidRDefault="002C4E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"/>
              </w:rPr>
              <w:t>33 327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  <w:shd w:val="solid" w:color="FFFFFF" w:fill="auto"/>
          </w:tcPr>
          <w:p w:rsidR="002C4E8C" w:rsidRDefault="002C4E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"/>
              </w:rPr>
              <w:t>13 528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  <w:shd w:val="solid" w:color="FFFFFF" w:fill="auto"/>
          </w:tcPr>
          <w:p w:rsidR="002C4E8C" w:rsidRDefault="002C4E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"/>
              </w:rPr>
              <w:t>146%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  <w:shd w:val="solid" w:color="FFFFFF" w:fill="auto"/>
          </w:tcPr>
          <w:p w:rsidR="002C4E8C" w:rsidRDefault="002C4E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"/>
              </w:rPr>
              <w:t>24 400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  <w:shd w:val="solid" w:color="FFFFFF" w:fill="auto"/>
          </w:tcPr>
          <w:p w:rsidR="002C4E8C" w:rsidRDefault="002C4E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"/>
              </w:rPr>
              <w:t>7 701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  <w:shd w:val="solid" w:color="FFFFFF" w:fill="auto"/>
          </w:tcPr>
          <w:p w:rsidR="002C4E8C" w:rsidRDefault="002C4E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"/>
              </w:rPr>
              <w:t>217%</w:t>
            </w:r>
          </w:p>
        </w:tc>
      </w:tr>
    </w:tbl>
    <w:p w:rsidR="00224232" w:rsidRDefault="00224232" w:rsidP="00224232">
      <w:pPr>
        <w:spacing w:line="24" w:lineRule="atLeast"/>
        <w:jc w:val="both"/>
        <w:rPr>
          <w:rFonts w:ascii="Arial" w:hAnsi="Arial" w:cs="Arial"/>
          <w:b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1003"/>
        <w:gridCol w:w="1467"/>
        <w:gridCol w:w="1428"/>
        <w:gridCol w:w="1428"/>
        <w:gridCol w:w="1428"/>
        <w:gridCol w:w="1428"/>
        <w:gridCol w:w="1264"/>
        <w:gridCol w:w="1004"/>
      </w:tblGrid>
      <w:tr w:rsidR="001F37ED" w:rsidTr="00313136">
        <w:trPr>
          <w:trHeight w:val="569"/>
        </w:trPr>
        <w:tc>
          <w:tcPr>
            <w:tcW w:w="1003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nil"/>
            </w:tcBorders>
            <w:shd w:val="solid" w:color="333399" w:fill="auto"/>
          </w:tcPr>
          <w:p w:rsidR="00313136" w:rsidRDefault="0031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467" w:type="dxa"/>
            <w:tcBorders>
              <w:top w:val="single" w:sz="12" w:space="0" w:color="333399"/>
              <w:left w:val="nil"/>
              <w:bottom w:val="single" w:sz="12" w:space="0" w:color="333399"/>
              <w:right w:val="nil"/>
            </w:tcBorders>
            <w:shd w:val="solid" w:color="333399" w:fill="auto"/>
          </w:tcPr>
          <w:p w:rsidR="00313136" w:rsidRPr="00313136" w:rsidRDefault="0031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</w:pPr>
          </w:p>
        </w:tc>
        <w:tc>
          <w:tcPr>
            <w:tcW w:w="1428" w:type="dxa"/>
            <w:tcBorders>
              <w:top w:val="single" w:sz="12" w:space="0" w:color="333399"/>
              <w:left w:val="nil"/>
              <w:bottom w:val="single" w:sz="12" w:space="0" w:color="333399"/>
              <w:right w:val="nil"/>
            </w:tcBorders>
            <w:shd w:val="solid" w:color="333399" w:fill="auto"/>
          </w:tcPr>
          <w:p w:rsidR="00313136" w:rsidRPr="00313136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</w:pPr>
            <w:r w:rsidRPr="00313136">
              <w:rPr>
                <w:rFonts w:ascii="Arial" w:hAnsi="Arial" w:cs="Arial"/>
                <w:b/>
                <w:bCs/>
                <w:color w:val="FFFFFF" w:themeColor="background1"/>
                <w:lang w:val="ru"/>
              </w:rPr>
              <w:t>1</w:t>
            </w:r>
            <w:r w:rsidR="00966CA7">
              <w:rPr>
                <w:rFonts w:ascii="Arial" w:hAnsi="Arial" w:cs="Arial"/>
                <w:b/>
                <w:bCs/>
                <w:color w:val="FFFFFF" w:themeColor="background1"/>
                <w:lang w:val="ru"/>
              </w:rPr>
              <w:t>П</w:t>
            </w:r>
            <w:r w:rsidRPr="00313136">
              <w:rPr>
                <w:rFonts w:ascii="Arial" w:hAnsi="Arial" w:cs="Arial"/>
                <w:b/>
                <w:bCs/>
                <w:color w:val="FFFFFF" w:themeColor="background1"/>
                <w:lang w:val="ru"/>
              </w:rPr>
              <w:t xml:space="preserve"> 2022*</w:t>
            </w:r>
          </w:p>
        </w:tc>
        <w:tc>
          <w:tcPr>
            <w:tcW w:w="1428" w:type="dxa"/>
            <w:tcBorders>
              <w:top w:val="single" w:sz="12" w:space="0" w:color="333399"/>
              <w:left w:val="nil"/>
              <w:bottom w:val="single" w:sz="12" w:space="0" w:color="333399"/>
              <w:right w:val="nil"/>
            </w:tcBorders>
            <w:shd w:val="solid" w:color="333399" w:fill="auto"/>
          </w:tcPr>
          <w:p w:rsidR="00313136" w:rsidRPr="00313136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</w:pPr>
            <w:r w:rsidRPr="00313136">
              <w:rPr>
                <w:rFonts w:ascii="Arial" w:hAnsi="Arial" w:cs="Arial"/>
                <w:b/>
                <w:bCs/>
                <w:color w:val="FFFFFF" w:themeColor="background1"/>
                <w:lang w:val="ru"/>
              </w:rPr>
              <w:t>1</w:t>
            </w:r>
            <w:r w:rsidR="00966CA7">
              <w:rPr>
                <w:rFonts w:ascii="Arial" w:hAnsi="Arial" w:cs="Arial"/>
                <w:b/>
                <w:bCs/>
                <w:color w:val="FFFFFF" w:themeColor="background1"/>
                <w:lang w:val="ru"/>
              </w:rPr>
              <w:t>П</w:t>
            </w:r>
            <w:r w:rsidRPr="00313136">
              <w:rPr>
                <w:rFonts w:ascii="Arial" w:hAnsi="Arial" w:cs="Arial"/>
                <w:b/>
                <w:bCs/>
                <w:color w:val="FFFFFF" w:themeColor="background1"/>
                <w:lang w:val="ru"/>
              </w:rPr>
              <w:t xml:space="preserve"> 2021</w:t>
            </w:r>
          </w:p>
        </w:tc>
        <w:tc>
          <w:tcPr>
            <w:tcW w:w="1428" w:type="dxa"/>
            <w:tcBorders>
              <w:top w:val="single" w:sz="12" w:space="0" w:color="333399"/>
              <w:left w:val="nil"/>
              <w:bottom w:val="single" w:sz="12" w:space="0" w:color="333399"/>
              <w:right w:val="nil"/>
            </w:tcBorders>
            <w:shd w:val="solid" w:color="333399" w:fill="auto"/>
          </w:tcPr>
          <w:p w:rsidR="00313136" w:rsidRPr="00313136" w:rsidRDefault="00C2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</w:pPr>
            <w:r w:rsidRPr="00313136">
              <w:rPr>
                <w:rFonts w:ascii="Arial" w:hAnsi="Arial" w:cs="Arial"/>
                <w:b/>
                <w:bCs/>
                <w:color w:val="FFFFFF" w:themeColor="background1"/>
                <w:lang w:val="ru"/>
              </w:rPr>
              <w:t>%</w:t>
            </w:r>
          </w:p>
        </w:tc>
        <w:tc>
          <w:tcPr>
            <w:tcW w:w="1428" w:type="dxa"/>
            <w:tcBorders>
              <w:top w:val="single" w:sz="12" w:space="0" w:color="333399"/>
              <w:left w:val="nil"/>
              <w:bottom w:val="single" w:sz="12" w:space="0" w:color="333399"/>
              <w:right w:val="nil"/>
            </w:tcBorders>
            <w:shd w:val="solid" w:color="333399" w:fill="auto"/>
          </w:tcPr>
          <w:p w:rsidR="00313136" w:rsidRPr="00313136" w:rsidRDefault="00C2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</w:pPr>
            <w:r w:rsidRPr="00313136">
              <w:rPr>
                <w:rFonts w:ascii="Arial" w:hAnsi="Arial" w:cs="Arial"/>
                <w:b/>
                <w:bCs/>
                <w:color w:val="FFFFFF" w:themeColor="background1"/>
                <w:lang w:val="ru"/>
              </w:rPr>
              <w:t>2</w:t>
            </w:r>
            <w:r w:rsidR="00966CA7">
              <w:rPr>
                <w:rFonts w:ascii="Arial" w:hAnsi="Arial" w:cs="Arial"/>
                <w:b/>
                <w:bCs/>
                <w:color w:val="FFFFFF" w:themeColor="background1"/>
                <w:lang w:val="ru"/>
              </w:rPr>
              <w:t>К</w:t>
            </w:r>
            <w:r w:rsidRPr="00313136">
              <w:rPr>
                <w:rFonts w:ascii="Arial" w:hAnsi="Arial" w:cs="Arial"/>
                <w:b/>
                <w:bCs/>
                <w:color w:val="FFFFFF" w:themeColor="background1"/>
                <w:lang w:val="ru"/>
              </w:rPr>
              <w:t xml:space="preserve"> 2022</w:t>
            </w:r>
          </w:p>
        </w:tc>
        <w:tc>
          <w:tcPr>
            <w:tcW w:w="1264" w:type="dxa"/>
            <w:tcBorders>
              <w:top w:val="single" w:sz="12" w:space="0" w:color="333399"/>
              <w:left w:val="nil"/>
              <w:bottom w:val="single" w:sz="12" w:space="0" w:color="333399"/>
              <w:right w:val="nil"/>
            </w:tcBorders>
            <w:shd w:val="solid" w:color="333399" w:fill="auto"/>
          </w:tcPr>
          <w:p w:rsidR="00313136" w:rsidRPr="00313136" w:rsidRDefault="00C2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</w:pPr>
            <w:r w:rsidRPr="00313136">
              <w:rPr>
                <w:rFonts w:ascii="Arial" w:hAnsi="Arial" w:cs="Arial"/>
                <w:b/>
                <w:bCs/>
                <w:color w:val="FFFFFF" w:themeColor="background1"/>
                <w:lang w:val="ru"/>
              </w:rPr>
              <w:t xml:space="preserve">  2</w:t>
            </w:r>
            <w:r w:rsidR="00966CA7">
              <w:rPr>
                <w:rFonts w:ascii="Arial" w:hAnsi="Arial" w:cs="Arial"/>
                <w:b/>
                <w:bCs/>
                <w:color w:val="FFFFFF" w:themeColor="background1"/>
                <w:lang w:val="ru"/>
              </w:rPr>
              <w:t>К</w:t>
            </w:r>
            <w:r w:rsidRPr="00313136">
              <w:rPr>
                <w:rFonts w:ascii="Arial" w:hAnsi="Arial" w:cs="Arial"/>
                <w:b/>
                <w:bCs/>
                <w:color w:val="FFFFFF" w:themeColor="background1"/>
                <w:lang w:val="ru"/>
              </w:rPr>
              <w:t xml:space="preserve"> 2021</w:t>
            </w:r>
          </w:p>
        </w:tc>
        <w:tc>
          <w:tcPr>
            <w:tcW w:w="1004" w:type="dxa"/>
            <w:tcBorders>
              <w:top w:val="single" w:sz="12" w:space="0" w:color="333399"/>
              <w:left w:val="nil"/>
              <w:bottom w:val="single" w:sz="12" w:space="0" w:color="333399"/>
              <w:right w:val="single" w:sz="12" w:space="0" w:color="333399"/>
            </w:tcBorders>
            <w:shd w:val="solid" w:color="333399" w:fill="auto"/>
          </w:tcPr>
          <w:p w:rsidR="00313136" w:rsidRPr="00313136" w:rsidRDefault="00C2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</w:pPr>
            <w:r w:rsidRPr="00313136">
              <w:rPr>
                <w:rFonts w:ascii="Arial" w:hAnsi="Arial" w:cs="Arial"/>
                <w:b/>
                <w:bCs/>
                <w:color w:val="FFFFFF" w:themeColor="background1"/>
                <w:lang w:val="ru"/>
              </w:rPr>
              <w:t xml:space="preserve">% </w:t>
            </w:r>
          </w:p>
        </w:tc>
      </w:tr>
      <w:tr w:rsidR="001F37ED" w:rsidTr="002C4E8C">
        <w:trPr>
          <w:trHeight w:val="593"/>
        </w:trPr>
        <w:tc>
          <w:tcPr>
            <w:tcW w:w="2470" w:type="dxa"/>
            <w:gridSpan w:val="2"/>
            <w:tcBorders>
              <w:top w:val="single" w:sz="12" w:space="0" w:color="333399"/>
              <w:left w:val="single" w:sz="12" w:space="0" w:color="33CCCC"/>
              <w:bottom w:val="single" w:sz="12" w:space="0" w:color="33CCCC"/>
              <w:right w:val="single" w:sz="12" w:space="0" w:color="33CCCC"/>
            </w:tcBorders>
            <w:shd w:val="solid" w:color="CCCCFF" w:fill="auto"/>
          </w:tcPr>
          <w:p w:rsidR="00313136" w:rsidRDefault="00C2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"/>
              </w:rPr>
              <w:t>Валовая прибыль (тыс. долл.)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  <w:shd w:val="solid" w:color="CCCCFF" w:fill="auto"/>
          </w:tcPr>
          <w:p w:rsidR="00313136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"/>
              </w:rPr>
              <w:t>95 801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  <w:shd w:val="solid" w:color="CCCCFF" w:fill="auto"/>
          </w:tcPr>
          <w:p w:rsidR="00313136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"/>
              </w:rPr>
              <w:t>60 760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  <w:shd w:val="solid" w:color="CCCCFF" w:fill="auto"/>
          </w:tcPr>
          <w:p w:rsidR="00313136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"/>
              </w:rPr>
              <w:t>58%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  <w:shd w:val="solid" w:color="CCCCFF" w:fill="auto"/>
          </w:tcPr>
          <w:p w:rsidR="00313136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"/>
              </w:rPr>
              <w:t>49 978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  <w:shd w:val="solid" w:color="CCCCFF" w:fill="auto"/>
          </w:tcPr>
          <w:p w:rsidR="00313136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"/>
              </w:rPr>
              <w:t>30 113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  <w:shd w:val="solid" w:color="CCCCFF" w:fill="auto"/>
          </w:tcPr>
          <w:p w:rsidR="00313136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"/>
              </w:rPr>
              <w:t>66%</w:t>
            </w:r>
          </w:p>
        </w:tc>
      </w:tr>
      <w:tr w:rsidR="001F37ED" w:rsidTr="00313136">
        <w:trPr>
          <w:trHeight w:val="302"/>
        </w:trPr>
        <w:tc>
          <w:tcPr>
            <w:tcW w:w="1003" w:type="dxa"/>
            <w:tcBorders>
              <w:top w:val="single" w:sz="12" w:space="0" w:color="33CCCC"/>
              <w:left w:val="single" w:sz="12" w:space="0" w:color="33CCCC"/>
              <w:bottom w:val="single" w:sz="12" w:space="0" w:color="33CCCC"/>
              <w:right w:val="nil"/>
            </w:tcBorders>
          </w:tcPr>
          <w:p w:rsidR="00313136" w:rsidRDefault="0031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467" w:type="dxa"/>
            <w:tcBorders>
              <w:top w:val="single" w:sz="12" w:space="0" w:color="33CCCC"/>
              <w:left w:val="nil"/>
              <w:bottom w:val="single" w:sz="12" w:space="0" w:color="33CCCC"/>
              <w:right w:val="single" w:sz="12" w:space="0" w:color="33CCCC"/>
            </w:tcBorders>
          </w:tcPr>
          <w:p w:rsidR="00313136" w:rsidRDefault="0031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</w:tcPr>
          <w:p w:rsidR="00313136" w:rsidRDefault="0031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</w:tcPr>
          <w:p w:rsidR="00313136" w:rsidRDefault="0031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</w:tcPr>
          <w:p w:rsidR="00313136" w:rsidRDefault="0031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</w:tcPr>
          <w:p w:rsidR="00313136" w:rsidRDefault="0031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</w:tcPr>
          <w:p w:rsidR="00313136" w:rsidRDefault="0031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</w:tcPr>
          <w:p w:rsidR="00313136" w:rsidRDefault="0031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1F37ED" w:rsidRPr="00147AAF" w:rsidTr="002C4E8C">
        <w:trPr>
          <w:trHeight w:val="665"/>
        </w:trPr>
        <w:tc>
          <w:tcPr>
            <w:tcW w:w="3898" w:type="dxa"/>
            <w:gridSpan w:val="3"/>
            <w:tcBorders>
              <w:top w:val="single" w:sz="12" w:space="0" w:color="33CCCC"/>
              <w:left w:val="single" w:sz="12" w:space="0" w:color="33CCCC"/>
              <w:bottom w:val="single" w:sz="12" w:space="0" w:color="33CCCC"/>
              <w:right w:val="nil"/>
            </w:tcBorders>
            <w:shd w:val="solid" w:color="CCCCFF" w:fill="auto"/>
          </w:tcPr>
          <w:p w:rsidR="00313136" w:rsidRPr="00685672" w:rsidRDefault="00C2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313136">
              <w:rPr>
                <w:rFonts w:ascii="Arial" w:hAnsi="Arial" w:cs="Arial"/>
                <w:b/>
                <w:bCs/>
                <w:color w:val="000000"/>
                <w:lang w:val="ru"/>
              </w:rPr>
              <w:t>Валовая прибыль по направлениям деятельности (тыс. долл.)</w:t>
            </w:r>
          </w:p>
        </w:tc>
        <w:tc>
          <w:tcPr>
            <w:tcW w:w="1428" w:type="dxa"/>
            <w:tcBorders>
              <w:top w:val="single" w:sz="12" w:space="0" w:color="33CCCC"/>
              <w:left w:val="nil"/>
              <w:bottom w:val="single" w:sz="12" w:space="0" w:color="33CCCC"/>
              <w:right w:val="single" w:sz="12" w:space="0" w:color="33CCCC"/>
            </w:tcBorders>
            <w:shd w:val="solid" w:color="CCCCFF" w:fill="auto"/>
          </w:tcPr>
          <w:p w:rsidR="00313136" w:rsidRPr="00685672" w:rsidRDefault="0031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  <w:shd w:val="solid" w:color="CCCCFF" w:fill="auto"/>
          </w:tcPr>
          <w:p w:rsidR="00313136" w:rsidRPr="00685672" w:rsidRDefault="0031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  <w:shd w:val="solid" w:color="CCCCFF" w:fill="auto"/>
          </w:tcPr>
          <w:p w:rsidR="00313136" w:rsidRPr="00685672" w:rsidRDefault="0031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  <w:shd w:val="solid" w:color="CCCCFF" w:fill="auto"/>
          </w:tcPr>
          <w:p w:rsidR="00313136" w:rsidRPr="00685672" w:rsidRDefault="0031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  <w:shd w:val="solid" w:color="CCCCFF" w:fill="auto"/>
          </w:tcPr>
          <w:p w:rsidR="00313136" w:rsidRPr="00685672" w:rsidRDefault="0031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1F37ED" w:rsidTr="002C4E8C">
        <w:trPr>
          <w:trHeight w:val="302"/>
        </w:trPr>
        <w:tc>
          <w:tcPr>
            <w:tcW w:w="2470" w:type="dxa"/>
            <w:gridSpan w:val="2"/>
            <w:tcBorders>
              <w:top w:val="single" w:sz="12" w:space="0" w:color="33CCCC"/>
              <w:left w:val="single" w:sz="12" w:space="0" w:color="33CCCC"/>
              <w:bottom w:val="single" w:sz="12" w:space="0" w:color="33CCCC"/>
              <w:right w:val="single" w:sz="12" w:space="0" w:color="33CCCC"/>
            </w:tcBorders>
            <w:shd w:val="solid" w:color="FFFFFF" w:fill="auto"/>
          </w:tcPr>
          <w:p w:rsidR="00313136" w:rsidRDefault="00C2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"/>
              </w:rPr>
              <w:t>Программное обеспечение и облака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  <w:shd w:val="solid" w:color="FFFFFF" w:fill="auto"/>
          </w:tcPr>
          <w:p w:rsidR="00313136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"/>
              </w:rPr>
              <w:t>36 074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  <w:shd w:val="solid" w:color="FFFFFF" w:fill="auto"/>
          </w:tcPr>
          <w:p w:rsidR="00313136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"/>
              </w:rPr>
              <w:t>34 759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  <w:shd w:val="solid" w:color="FFFFFF" w:fill="auto"/>
          </w:tcPr>
          <w:p w:rsidR="00313136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"/>
              </w:rPr>
              <w:t>4%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  <w:shd w:val="solid" w:color="FFFFFF" w:fill="auto"/>
          </w:tcPr>
          <w:p w:rsidR="00313136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"/>
              </w:rPr>
              <w:t>17 815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  <w:shd w:val="solid" w:color="FFFFFF" w:fill="auto"/>
          </w:tcPr>
          <w:p w:rsidR="00313136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"/>
              </w:rPr>
              <w:t>13 820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  <w:shd w:val="solid" w:color="FFFFFF" w:fill="auto"/>
          </w:tcPr>
          <w:p w:rsidR="00313136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"/>
              </w:rPr>
              <w:t>29%</w:t>
            </w:r>
          </w:p>
        </w:tc>
      </w:tr>
      <w:tr w:rsidR="001F37ED" w:rsidTr="002C4E8C">
        <w:trPr>
          <w:trHeight w:val="302"/>
        </w:trPr>
        <w:tc>
          <w:tcPr>
            <w:tcW w:w="2470" w:type="dxa"/>
            <w:gridSpan w:val="2"/>
            <w:tcBorders>
              <w:top w:val="single" w:sz="12" w:space="0" w:color="33CCCC"/>
              <w:left w:val="single" w:sz="12" w:space="0" w:color="33CCCC"/>
              <w:bottom w:val="single" w:sz="12" w:space="0" w:color="33CCCC"/>
              <w:right w:val="single" w:sz="12" w:space="0" w:color="33CCCC"/>
            </w:tcBorders>
            <w:shd w:val="solid" w:color="CCCCFF" w:fill="auto"/>
          </w:tcPr>
          <w:p w:rsidR="00313136" w:rsidRDefault="00C2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"/>
              </w:rPr>
              <w:t>ИТ-сервисы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  <w:shd w:val="solid" w:color="CCCCFF" w:fill="auto"/>
          </w:tcPr>
          <w:p w:rsidR="00313136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"/>
              </w:rPr>
              <w:t>51 718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  <w:shd w:val="solid" w:color="CCCCFF" w:fill="auto"/>
          </w:tcPr>
          <w:p w:rsidR="00313136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"/>
              </w:rPr>
              <w:t>24 034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  <w:shd w:val="solid" w:color="CCCCFF" w:fill="auto"/>
          </w:tcPr>
          <w:p w:rsidR="00313136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"/>
              </w:rPr>
              <w:t>115%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  <w:shd w:val="solid" w:color="CCCCFF" w:fill="auto"/>
          </w:tcPr>
          <w:p w:rsidR="00313136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"/>
              </w:rPr>
              <w:t>26 141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  <w:shd w:val="solid" w:color="CCCCFF" w:fill="auto"/>
          </w:tcPr>
          <w:p w:rsidR="00313136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"/>
              </w:rPr>
              <w:t>15 246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  <w:shd w:val="solid" w:color="CCCCFF" w:fill="auto"/>
          </w:tcPr>
          <w:p w:rsidR="00313136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"/>
              </w:rPr>
              <w:t>71%</w:t>
            </w:r>
          </w:p>
        </w:tc>
      </w:tr>
      <w:tr w:rsidR="002C4E8C" w:rsidTr="00C26BB2">
        <w:trPr>
          <w:trHeight w:val="302"/>
        </w:trPr>
        <w:tc>
          <w:tcPr>
            <w:tcW w:w="2470" w:type="dxa"/>
            <w:gridSpan w:val="2"/>
            <w:tcBorders>
              <w:top w:val="single" w:sz="12" w:space="0" w:color="33CCCC"/>
              <w:left w:val="single" w:sz="12" w:space="0" w:color="33CCCC"/>
              <w:bottom w:val="single" w:sz="12" w:space="0" w:color="33CCCC"/>
              <w:right w:val="single" w:sz="12" w:space="0" w:color="33CCCC"/>
            </w:tcBorders>
            <w:shd w:val="solid" w:color="FFFFFF" w:fill="auto"/>
          </w:tcPr>
          <w:p w:rsidR="002C4E8C" w:rsidRDefault="002C4E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"/>
              </w:rPr>
              <w:t>Аппаратное обеспечение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  <w:shd w:val="solid" w:color="FFFFFF" w:fill="auto"/>
          </w:tcPr>
          <w:p w:rsidR="002C4E8C" w:rsidRDefault="002C4E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"/>
              </w:rPr>
              <w:t>8 009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  <w:shd w:val="solid" w:color="FFFFFF" w:fill="auto"/>
          </w:tcPr>
          <w:p w:rsidR="002C4E8C" w:rsidRDefault="002C4E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"/>
              </w:rPr>
              <w:t>1 967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  <w:shd w:val="solid" w:color="FFFFFF" w:fill="auto"/>
          </w:tcPr>
          <w:p w:rsidR="002C4E8C" w:rsidRDefault="002C4E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"/>
              </w:rPr>
              <w:t>307%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  <w:shd w:val="solid" w:color="FFFFFF" w:fill="auto"/>
          </w:tcPr>
          <w:p w:rsidR="002C4E8C" w:rsidRDefault="002C4E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"/>
              </w:rPr>
              <w:t>6 022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  <w:shd w:val="solid" w:color="FFFFFF" w:fill="auto"/>
          </w:tcPr>
          <w:p w:rsidR="002C4E8C" w:rsidRDefault="002C4E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"/>
              </w:rPr>
              <w:t>1 046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  <w:shd w:val="solid" w:color="FFFFFF" w:fill="auto"/>
          </w:tcPr>
          <w:p w:rsidR="002C4E8C" w:rsidRDefault="002C4E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"/>
              </w:rPr>
              <w:t>475%</w:t>
            </w:r>
          </w:p>
        </w:tc>
      </w:tr>
    </w:tbl>
    <w:p w:rsidR="00313136" w:rsidRDefault="00313136" w:rsidP="00224232">
      <w:pPr>
        <w:spacing w:line="24" w:lineRule="atLeast"/>
        <w:jc w:val="both"/>
        <w:rPr>
          <w:rFonts w:ascii="Arial" w:hAnsi="Arial" w:cs="Arial"/>
          <w:b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1003"/>
        <w:gridCol w:w="1467"/>
        <w:gridCol w:w="1428"/>
        <w:gridCol w:w="1428"/>
        <w:gridCol w:w="1428"/>
        <w:gridCol w:w="1781"/>
        <w:gridCol w:w="911"/>
        <w:gridCol w:w="1004"/>
      </w:tblGrid>
      <w:tr w:rsidR="001F37ED" w:rsidRPr="007E6BF2" w:rsidTr="00842029">
        <w:trPr>
          <w:trHeight w:val="569"/>
        </w:trPr>
        <w:tc>
          <w:tcPr>
            <w:tcW w:w="1003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nil"/>
            </w:tcBorders>
            <w:shd w:val="solid" w:color="333399" w:fill="auto"/>
          </w:tcPr>
          <w:p w:rsidR="00313136" w:rsidRPr="007E6BF2" w:rsidRDefault="0031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FFFF" w:themeColor="background1"/>
                <w:lang w:val="ru-RU"/>
              </w:rPr>
            </w:pPr>
          </w:p>
        </w:tc>
        <w:tc>
          <w:tcPr>
            <w:tcW w:w="1467" w:type="dxa"/>
            <w:tcBorders>
              <w:top w:val="single" w:sz="12" w:space="0" w:color="333399"/>
              <w:left w:val="nil"/>
              <w:bottom w:val="single" w:sz="12" w:space="0" w:color="333399"/>
              <w:right w:val="nil"/>
            </w:tcBorders>
            <w:shd w:val="solid" w:color="333399" w:fill="auto"/>
          </w:tcPr>
          <w:p w:rsidR="00313136" w:rsidRPr="007E6BF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</w:pPr>
            <w:r w:rsidRPr="007E6BF2">
              <w:rPr>
                <w:rFonts w:ascii="Arial" w:hAnsi="Arial" w:cs="Arial"/>
                <w:b/>
                <w:bCs/>
                <w:color w:val="FFFFFF" w:themeColor="background1"/>
                <w:lang w:val="ru"/>
              </w:rPr>
              <w:t>1</w:t>
            </w:r>
            <w:r w:rsidR="00966CA7">
              <w:rPr>
                <w:rFonts w:ascii="Arial" w:hAnsi="Arial" w:cs="Arial"/>
                <w:b/>
                <w:bCs/>
                <w:color w:val="FFFFFF" w:themeColor="background1"/>
                <w:lang w:val="ru"/>
              </w:rPr>
              <w:t>П</w:t>
            </w:r>
            <w:r w:rsidRPr="007E6BF2">
              <w:rPr>
                <w:rFonts w:ascii="Arial" w:hAnsi="Arial" w:cs="Arial"/>
                <w:b/>
                <w:bCs/>
                <w:color w:val="FFFFFF" w:themeColor="background1"/>
                <w:lang w:val="ru"/>
              </w:rPr>
              <w:t xml:space="preserve"> 2022*</w:t>
            </w:r>
          </w:p>
        </w:tc>
        <w:tc>
          <w:tcPr>
            <w:tcW w:w="1428" w:type="dxa"/>
            <w:tcBorders>
              <w:top w:val="single" w:sz="12" w:space="0" w:color="333399"/>
              <w:left w:val="nil"/>
              <w:bottom w:val="single" w:sz="12" w:space="0" w:color="333399"/>
              <w:right w:val="nil"/>
            </w:tcBorders>
            <w:shd w:val="solid" w:color="333399" w:fill="auto"/>
          </w:tcPr>
          <w:p w:rsidR="00313136" w:rsidRPr="007E6BF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</w:pPr>
            <w:r w:rsidRPr="007E6BF2">
              <w:rPr>
                <w:rFonts w:ascii="Arial" w:hAnsi="Arial" w:cs="Arial"/>
                <w:b/>
                <w:bCs/>
                <w:color w:val="FFFFFF" w:themeColor="background1"/>
                <w:lang w:val="ru"/>
              </w:rPr>
              <w:t>1</w:t>
            </w:r>
            <w:r w:rsidR="00966CA7">
              <w:rPr>
                <w:rFonts w:ascii="Arial" w:hAnsi="Arial" w:cs="Arial"/>
                <w:b/>
                <w:bCs/>
                <w:color w:val="FFFFFF" w:themeColor="background1"/>
                <w:lang w:val="ru"/>
              </w:rPr>
              <w:t>П</w:t>
            </w:r>
            <w:r w:rsidRPr="007E6BF2">
              <w:rPr>
                <w:rFonts w:ascii="Arial" w:hAnsi="Arial" w:cs="Arial"/>
                <w:b/>
                <w:bCs/>
                <w:color w:val="FFFFFF" w:themeColor="background1"/>
                <w:lang w:val="ru"/>
              </w:rPr>
              <w:t xml:space="preserve"> 2021</w:t>
            </w:r>
          </w:p>
        </w:tc>
        <w:tc>
          <w:tcPr>
            <w:tcW w:w="1428" w:type="dxa"/>
            <w:tcBorders>
              <w:top w:val="single" w:sz="12" w:space="0" w:color="333399"/>
              <w:left w:val="nil"/>
              <w:bottom w:val="single" w:sz="12" w:space="0" w:color="333399"/>
              <w:right w:val="nil"/>
            </w:tcBorders>
            <w:shd w:val="solid" w:color="333399" w:fill="auto"/>
          </w:tcPr>
          <w:p w:rsidR="00313136" w:rsidRPr="007E6BF2" w:rsidRDefault="00C2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</w:pPr>
            <w:r w:rsidRPr="007E6BF2">
              <w:rPr>
                <w:rFonts w:ascii="Arial" w:hAnsi="Arial" w:cs="Arial"/>
                <w:b/>
                <w:bCs/>
                <w:color w:val="FFFFFF" w:themeColor="background1"/>
                <w:lang w:val="ru"/>
              </w:rPr>
              <w:t>%</w:t>
            </w:r>
          </w:p>
        </w:tc>
        <w:tc>
          <w:tcPr>
            <w:tcW w:w="1428" w:type="dxa"/>
            <w:tcBorders>
              <w:top w:val="single" w:sz="12" w:space="0" w:color="333399"/>
              <w:left w:val="nil"/>
              <w:bottom w:val="single" w:sz="12" w:space="0" w:color="333399"/>
              <w:right w:val="nil"/>
            </w:tcBorders>
            <w:shd w:val="solid" w:color="333399" w:fill="auto"/>
          </w:tcPr>
          <w:p w:rsidR="00313136" w:rsidRPr="007E6BF2" w:rsidRDefault="00C2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</w:pPr>
            <w:r w:rsidRPr="007E6BF2">
              <w:rPr>
                <w:rFonts w:ascii="Arial" w:hAnsi="Arial" w:cs="Arial"/>
                <w:b/>
                <w:bCs/>
                <w:color w:val="FFFFFF" w:themeColor="background1"/>
                <w:lang w:val="ru"/>
              </w:rPr>
              <w:t>2</w:t>
            </w:r>
            <w:r w:rsidR="00966CA7">
              <w:rPr>
                <w:rFonts w:ascii="Arial" w:hAnsi="Arial" w:cs="Arial"/>
                <w:b/>
                <w:bCs/>
                <w:color w:val="FFFFFF" w:themeColor="background1"/>
                <w:lang w:val="ru"/>
              </w:rPr>
              <w:t>К</w:t>
            </w:r>
            <w:r w:rsidRPr="007E6BF2">
              <w:rPr>
                <w:rFonts w:ascii="Arial" w:hAnsi="Arial" w:cs="Arial"/>
                <w:b/>
                <w:bCs/>
                <w:color w:val="FFFFFF" w:themeColor="background1"/>
                <w:lang w:val="ru"/>
              </w:rPr>
              <w:t xml:space="preserve"> 2022</w:t>
            </w:r>
          </w:p>
        </w:tc>
        <w:tc>
          <w:tcPr>
            <w:tcW w:w="1781" w:type="dxa"/>
            <w:tcBorders>
              <w:top w:val="single" w:sz="12" w:space="0" w:color="333399"/>
              <w:left w:val="nil"/>
              <w:bottom w:val="single" w:sz="12" w:space="0" w:color="333399"/>
              <w:right w:val="nil"/>
            </w:tcBorders>
            <w:shd w:val="solid" w:color="333399" w:fill="auto"/>
          </w:tcPr>
          <w:p w:rsidR="00313136" w:rsidRPr="007E6BF2" w:rsidRDefault="00C2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</w:pPr>
            <w:r w:rsidRPr="007E6BF2">
              <w:rPr>
                <w:rFonts w:ascii="Arial" w:hAnsi="Arial" w:cs="Arial"/>
                <w:b/>
                <w:bCs/>
                <w:color w:val="FFFFFF" w:themeColor="background1"/>
                <w:lang w:val="ru"/>
              </w:rPr>
              <w:t xml:space="preserve">  2</w:t>
            </w:r>
            <w:r w:rsidR="00966CA7">
              <w:rPr>
                <w:rFonts w:ascii="Arial" w:hAnsi="Arial" w:cs="Arial"/>
                <w:b/>
                <w:bCs/>
                <w:color w:val="FFFFFF" w:themeColor="background1"/>
                <w:lang w:val="ru"/>
              </w:rPr>
              <w:t>К</w:t>
            </w:r>
            <w:r w:rsidRPr="007E6BF2">
              <w:rPr>
                <w:rFonts w:ascii="Arial" w:hAnsi="Arial" w:cs="Arial"/>
                <w:b/>
                <w:bCs/>
                <w:color w:val="FFFFFF" w:themeColor="background1"/>
                <w:lang w:val="ru"/>
              </w:rPr>
              <w:t xml:space="preserve"> 2021</w:t>
            </w:r>
          </w:p>
        </w:tc>
        <w:tc>
          <w:tcPr>
            <w:tcW w:w="911" w:type="dxa"/>
            <w:tcBorders>
              <w:top w:val="single" w:sz="12" w:space="0" w:color="333399"/>
              <w:left w:val="nil"/>
              <w:bottom w:val="single" w:sz="12" w:space="0" w:color="333399"/>
              <w:right w:val="nil"/>
            </w:tcBorders>
            <w:shd w:val="solid" w:color="333399" w:fill="auto"/>
          </w:tcPr>
          <w:p w:rsidR="00313136" w:rsidRPr="007E6BF2" w:rsidRDefault="0031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</w:pPr>
          </w:p>
        </w:tc>
        <w:tc>
          <w:tcPr>
            <w:tcW w:w="1004" w:type="dxa"/>
            <w:tcBorders>
              <w:top w:val="single" w:sz="12" w:space="0" w:color="333399"/>
              <w:left w:val="nil"/>
              <w:bottom w:val="single" w:sz="12" w:space="0" w:color="333399"/>
              <w:right w:val="single" w:sz="12" w:space="0" w:color="333399"/>
            </w:tcBorders>
            <w:shd w:val="solid" w:color="333399" w:fill="auto"/>
          </w:tcPr>
          <w:p w:rsidR="00313136" w:rsidRPr="007E6BF2" w:rsidRDefault="00C2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</w:pPr>
            <w:r w:rsidRPr="007E6BF2">
              <w:rPr>
                <w:rFonts w:ascii="Arial" w:hAnsi="Arial" w:cs="Arial"/>
                <w:b/>
                <w:bCs/>
                <w:color w:val="FFFFFF" w:themeColor="background1"/>
                <w:lang w:val="ru"/>
              </w:rPr>
              <w:t xml:space="preserve">% </w:t>
            </w:r>
          </w:p>
        </w:tc>
      </w:tr>
      <w:tr w:rsidR="001F37ED" w:rsidRPr="00147AAF" w:rsidTr="00842029">
        <w:trPr>
          <w:trHeight w:val="569"/>
        </w:trPr>
        <w:tc>
          <w:tcPr>
            <w:tcW w:w="3898" w:type="dxa"/>
            <w:gridSpan w:val="3"/>
            <w:tcBorders>
              <w:top w:val="single" w:sz="12" w:space="0" w:color="333399"/>
              <w:left w:val="single" w:sz="12" w:space="0" w:color="33CCCC"/>
              <w:bottom w:val="single" w:sz="12" w:space="0" w:color="33CCCC"/>
              <w:right w:val="single" w:sz="12" w:space="0" w:color="33CCCC"/>
            </w:tcBorders>
            <w:shd w:val="solid" w:color="CCCCFF" w:fill="auto"/>
          </w:tcPr>
          <w:p w:rsidR="00313136" w:rsidRPr="007E6BF2" w:rsidRDefault="007E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"/>
              </w:rPr>
              <w:t>Оборот</w:t>
            </w:r>
            <w:r w:rsidR="002C4E8C" w:rsidRPr="007E6BF2">
              <w:rPr>
                <w:rFonts w:ascii="Arial" w:hAnsi="Arial" w:cs="Arial"/>
                <w:b/>
                <w:bCs/>
                <w:color w:val="000000"/>
                <w:lang w:val="ru"/>
              </w:rPr>
              <w:t xml:space="preserve"> по регионам (тыс. </w:t>
            </w:r>
            <w:proofErr w:type="gramStart"/>
            <w:r w:rsidR="002C4E8C" w:rsidRPr="007E6BF2">
              <w:rPr>
                <w:rFonts w:ascii="Arial" w:hAnsi="Arial" w:cs="Arial"/>
                <w:b/>
                <w:bCs/>
                <w:color w:val="000000"/>
                <w:lang w:val="ru"/>
              </w:rPr>
              <w:t>долл.)*</w:t>
            </w:r>
            <w:proofErr w:type="gramEnd"/>
            <w:r w:rsidR="002C4E8C" w:rsidRPr="007E6BF2">
              <w:rPr>
                <w:rFonts w:ascii="Arial" w:hAnsi="Arial" w:cs="Arial"/>
                <w:b/>
                <w:bCs/>
                <w:color w:val="000000"/>
                <w:lang w:val="ru"/>
              </w:rPr>
              <w:t>*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  <w:shd w:val="solid" w:color="CCCCFF" w:fill="auto"/>
          </w:tcPr>
          <w:p w:rsidR="00313136" w:rsidRPr="007E6BF2" w:rsidRDefault="0031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  <w:shd w:val="solid" w:color="CCCCFF" w:fill="auto"/>
          </w:tcPr>
          <w:p w:rsidR="00313136" w:rsidRPr="007E6BF2" w:rsidRDefault="0031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  <w:shd w:val="solid" w:color="CCCCFF" w:fill="auto"/>
          </w:tcPr>
          <w:p w:rsidR="00313136" w:rsidRPr="007E6BF2" w:rsidRDefault="0031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911" w:type="dxa"/>
            <w:tcBorders>
              <w:top w:val="single" w:sz="12" w:space="0" w:color="333399"/>
              <w:left w:val="single" w:sz="12" w:space="0" w:color="33CCCC"/>
              <w:bottom w:val="single" w:sz="12" w:space="0" w:color="33CCCC"/>
              <w:right w:val="nil"/>
            </w:tcBorders>
            <w:shd w:val="solid" w:color="CCCCFF" w:fill="auto"/>
          </w:tcPr>
          <w:p w:rsidR="00313136" w:rsidRPr="007E6BF2" w:rsidRDefault="0031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004" w:type="dxa"/>
            <w:tcBorders>
              <w:top w:val="single" w:sz="12" w:space="0" w:color="333399"/>
              <w:left w:val="nil"/>
              <w:bottom w:val="single" w:sz="12" w:space="0" w:color="33CCCC"/>
              <w:right w:val="single" w:sz="12" w:space="0" w:color="33CCCC"/>
            </w:tcBorders>
            <w:shd w:val="solid" w:color="CCCCFF" w:fill="auto"/>
          </w:tcPr>
          <w:p w:rsidR="00313136" w:rsidRPr="007E6BF2" w:rsidRDefault="0031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7E6BF2" w:rsidRPr="007E6BF2" w:rsidTr="00842029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33CCCC"/>
              <w:bottom w:val="single" w:sz="12" w:space="0" w:color="33CCCC"/>
              <w:right w:val="single" w:sz="12" w:space="0" w:color="33CCCC"/>
            </w:tcBorders>
          </w:tcPr>
          <w:p w:rsidR="007E6BF2" w:rsidRPr="007E6BF2" w:rsidRDefault="007E6BF2" w:rsidP="007E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7E6BF2">
              <w:rPr>
                <w:rFonts w:ascii="Arial" w:hAnsi="Arial" w:cs="Arial"/>
                <w:color w:val="000000"/>
                <w:lang w:val="ru"/>
              </w:rPr>
              <w:t>APAC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</w:tcPr>
          <w:p w:rsidR="007E6BF2" w:rsidRPr="007E6BF2" w:rsidRDefault="007E6BF2" w:rsidP="007E6BF2">
            <w:pPr>
              <w:rPr>
                <w:rFonts w:ascii="Arial" w:hAnsi="Arial" w:cs="Arial"/>
              </w:rPr>
            </w:pPr>
            <w:r w:rsidRPr="007E6BF2">
              <w:rPr>
                <w:rFonts w:ascii="Arial" w:hAnsi="Arial" w:cs="Arial"/>
              </w:rPr>
              <w:t>379 095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</w:tcPr>
          <w:p w:rsidR="007E6BF2" w:rsidRPr="007E6BF2" w:rsidRDefault="007E6BF2" w:rsidP="007E6BF2">
            <w:pPr>
              <w:rPr>
                <w:rFonts w:ascii="Arial" w:hAnsi="Arial" w:cs="Arial"/>
              </w:rPr>
            </w:pPr>
            <w:r w:rsidRPr="007E6BF2">
              <w:rPr>
                <w:rFonts w:ascii="Arial" w:hAnsi="Arial" w:cs="Arial"/>
              </w:rPr>
              <w:t>285 722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</w:tcPr>
          <w:p w:rsidR="007E6BF2" w:rsidRPr="007E6BF2" w:rsidRDefault="007E6BF2" w:rsidP="007E6BF2">
            <w:pPr>
              <w:rPr>
                <w:rFonts w:ascii="Arial" w:hAnsi="Arial" w:cs="Arial"/>
              </w:rPr>
            </w:pPr>
            <w:r w:rsidRPr="007E6BF2">
              <w:rPr>
                <w:rFonts w:ascii="Arial" w:hAnsi="Arial" w:cs="Arial"/>
              </w:rPr>
              <w:t>33%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</w:tcPr>
          <w:p w:rsidR="007E6BF2" w:rsidRPr="007E6BF2" w:rsidRDefault="007E6BF2" w:rsidP="007E6BF2">
            <w:pPr>
              <w:rPr>
                <w:rFonts w:ascii="Arial" w:hAnsi="Arial" w:cs="Arial"/>
              </w:rPr>
            </w:pPr>
            <w:r w:rsidRPr="007E6BF2">
              <w:rPr>
                <w:rFonts w:ascii="Arial" w:hAnsi="Arial" w:cs="Arial"/>
              </w:rPr>
              <w:t>169 155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</w:tcPr>
          <w:p w:rsidR="007E6BF2" w:rsidRPr="007E6BF2" w:rsidRDefault="007E6BF2" w:rsidP="007E6BF2">
            <w:pPr>
              <w:rPr>
                <w:rFonts w:ascii="Arial" w:hAnsi="Arial" w:cs="Arial"/>
              </w:rPr>
            </w:pPr>
            <w:r w:rsidRPr="007E6BF2">
              <w:rPr>
                <w:rFonts w:ascii="Arial" w:hAnsi="Arial" w:cs="Arial"/>
              </w:rPr>
              <w:t>123 375</w:t>
            </w:r>
          </w:p>
        </w:tc>
        <w:tc>
          <w:tcPr>
            <w:tcW w:w="911" w:type="dxa"/>
            <w:tcBorders>
              <w:top w:val="single" w:sz="12" w:space="0" w:color="33CCCC"/>
              <w:left w:val="single" w:sz="12" w:space="0" w:color="33CCCC"/>
              <w:bottom w:val="single" w:sz="12" w:space="0" w:color="33CCCC"/>
              <w:right w:val="nil"/>
            </w:tcBorders>
          </w:tcPr>
          <w:p w:rsidR="007E6BF2" w:rsidRPr="007E6BF2" w:rsidRDefault="007E6BF2" w:rsidP="007E6BF2">
            <w:pPr>
              <w:rPr>
                <w:rFonts w:ascii="Arial" w:hAnsi="Arial" w:cs="Arial"/>
              </w:rPr>
            </w:pPr>
            <w:r w:rsidRPr="007E6BF2">
              <w:rPr>
                <w:rFonts w:ascii="Arial" w:hAnsi="Arial" w:cs="Arial"/>
              </w:rPr>
              <w:t>37%</w:t>
            </w:r>
          </w:p>
        </w:tc>
        <w:tc>
          <w:tcPr>
            <w:tcW w:w="1004" w:type="dxa"/>
            <w:tcBorders>
              <w:top w:val="single" w:sz="12" w:space="0" w:color="33CCCC"/>
              <w:left w:val="nil"/>
              <w:bottom w:val="single" w:sz="12" w:space="0" w:color="33CCCC"/>
              <w:right w:val="single" w:sz="12" w:space="0" w:color="33CCCC"/>
            </w:tcBorders>
          </w:tcPr>
          <w:p w:rsidR="007E6BF2" w:rsidRPr="007E6BF2" w:rsidRDefault="007E6BF2" w:rsidP="007E6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7E6BF2" w:rsidRPr="007E6BF2" w:rsidTr="00842029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33CCCC"/>
              <w:bottom w:val="single" w:sz="12" w:space="0" w:color="33CCCC"/>
              <w:right w:val="single" w:sz="12" w:space="0" w:color="33CCCC"/>
            </w:tcBorders>
            <w:shd w:val="solid" w:color="CCCCFF" w:fill="auto"/>
          </w:tcPr>
          <w:p w:rsidR="007E6BF2" w:rsidRPr="007E6BF2" w:rsidRDefault="007E6BF2" w:rsidP="007E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7E6BF2">
              <w:rPr>
                <w:rFonts w:ascii="Arial" w:hAnsi="Arial" w:cs="Arial"/>
                <w:color w:val="000000"/>
                <w:lang w:val="ru"/>
              </w:rPr>
              <w:t>EMEA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  <w:shd w:val="solid" w:color="CCCCFF" w:fill="auto"/>
          </w:tcPr>
          <w:p w:rsidR="007E6BF2" w:rsidRPr="007E6BF2" w:rsidRDefault="007E6BF2" w:rsidP="007E6BF2">
            <w:pPr>
              <w:rPr>
                <w:rFonts w:ascii="Arial" w:hAnsi="Arial" w:cs="Arial"/>
              </w:rPr>
            </w:pPr>
            <w:r w:rsidRPr="007E6BF2">
              <w:rPr>
                <w:rFonts w:ascii="Arial" w:hAnsi="Arial" w:cs="Arial"/>
              </w:rPr>
              <w:t>102 324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  <w:shd w:val="solid" w:color="CCCCFF" w:fill="auto"/>
          </w:tcPr>
          <w:p w:rsidR="007E6BF2" w:rsidRPr="007E6BF2" w:rsidRDefault="007E6BF2" w:rsidP="007E6BF2">
            <w:pPr>
              <w:rPr>
                <w:rFonts w:ascii="Arial" w:hAnsi="Arial" w:cs="Arial"/>
              </w:rPr>
            </w:pPr>
            <w:r w:rsidRPr="007E6BF2">
              <w:rPr>
                <w:rFonts w:ascii="Arial" w:hAnsi="Arial" w:cs="Arial"/>
              </w:rPr>
              <w:t>74 875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  <w:shd w:val="solid" w:color="CCCCFF" w:fill="auto"/>
          </w:tcPr>
          <w:p w:rsidR="007E6BF2" w:rsidRPr="007E6BF2" w:rsidRDefault="007E6BF2" w:rsidP="007E6BF2">
            <w:pPr>
              <w:rPr>
                <w:rFonts w:ascii="Arial" w:hAnsi="Arial" w:cs="Arial"/>
              </w:rPr>
            </w:pPr>
            <w:r w:rsidRPr="007E6BF2">
              <w:rPr>
                <w:rFonts w:ascii="Arial" w:hAnsi="Arial" w:cs="Arial"/>
              </w:rPr>
              <w:t>37%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  <w:shd w:val="solid" w:color="CCCCFF" w:fill="auto"/>
          </w:tcPr>
          <w:p w:rsidR="007E6BF2" w:rsidRPr="007E6BF2" w:rsidRDefault="007E6BF2" w:rsidP="007E6BF2">
            <w:pPr>
              <w:rPr>
                <w:rFonts w:ascii="Arial" w:hAnsi="Arial" w:cs="Arial"/>
              </w:rPr>
            </w:pPr>
            <w:r w:rsidRPr="007E6BF2">
              <w:rPr>
                <w:rFonts w:ascii="Arial" w:hAnsi="Arial" w:cs="Arial"/>
              </w:rPr>
              <w:t>43 197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  <w:shd w:val="solid" w:color="CCCCFF" w:fill="auto"/>
          </w:tcPr>
          <w:p w:rsidR="007E6BF2" w:rsidRPr="007E6BF2" w:rsidRDefault="007E6BF2" w:rsidP="007E6BF2">
            <w:pPr>
              <w:rPr>
                <w:rFonts w:ascii="Arial" w:hAnsi="Arial" w:cs="Arial"/>
              </w:rPr>
            </w:pPr>
            <w:r w:rsidRPr="007E6BF2">
              <w:rPr>
                <w:rFonts w:ascii="Arial" w:hAnsi="Arial" w:cs="Arial"/>
              </w:rPr>
              <w:t>40 304</w:t>
            </w:r>
          </w:p>
        </w:tc>
        <w:tc>
          <w:tcPr>
            <w:tcW w:w="911" w:type="dxa"/>
            <w:tcBorders>
              <w:top w:val="single" w:sz="12" w:space="0" w:color="33CCCC"/>
              <w:left w:val="single" w:sz="12" w:space="0" w:color="33CCCC"/>
              <w:bottom w:val="single" w:sz="12" w:space="0" w:color="33CCCC"/>
              <w:right w:val="nil"/>
            </w:tcBorders>
            <w:shd w:val="solid" w:color="CCCCFF" w:fill="auto"/>
          </w:tcPr>
          <w:p w:rsidR="007E6BF2" w:rsidRPr="007E6BF2" w:rsidRDefault="007E6BF2" w:rsidP="007E6BF2">
            <w:pPr>
              <w:rPr>
                <w:rFonts w:ascii="Arial" w:hAnsi="Arial" w:cs="Arial"/>
              </w:rPr>
            </w:pPr>
            <w:r w:rsidRPr="007E6BF2">
              <w:rPr>
                <w:rFonts w:ascii="Arial" w:hAnsi="Arial" w:cs="Arial"/>
              </w:rPr>
              <w:t>7%</w:t>
            </w:r>
          </w:p>
        </w:tc>
        <w:tc>
          <w:tcPr>
            <w:tcW w:w="1004" w:type="dxa"/>
            <w:tcBorders>
              <w:top w:val="single" w:sz="12" w:space="0" w:color="33CCCC"/>
              <w:left w:val="nil"/>
              <w:bottom w:val="single" w:sz="12" w:space="0" w:color="33CCCC"/>
              <w:right w:val="single" w:sz="12" w:space="0" w:color="33CCCC"/>
            </w:tcBorders>
            <w:shd w:val="solid" w:color="CCCCFF" w:fill="auto"/>
          </w:tcPr>
          <w:p w:rsidR="007E6BF2" w:rsidRPr="007E6BF2" w:rsidRDefault="007E6BF2" w:rsidP="007E6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7E6BF2" w:rsidRPr="007E6BF2" w:rsidTr="00842029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33CCCC"/>
              <w:bottom w:val="single" w:sz="12" w:space="0" w:color="33CCCC"/>
              <w:right w:val="single" w:sz="12" w:space="0" w:color="33CCCC"/>
            </w:tcBorders>
          </w:tcPr>
          <w:p w:rsidR="007E6BF2" w:rsidRPr="007E6BF2" w:rsidRDefault="007E6BF2" w:rsidP="007E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7E6BF2">
              <w:rPr>
                <w:rFonts w:ascii="Arial" w:hAnsi="Arial" w:cs="Arial"/>
                <w:color w:val="000000"/>
                <w:lang w:val="ru"/>
              </w:rPr>
              <w:t>RoE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</w:tcPr>
          <w:p w:rsidR="007E6BF2" w:rsidRPr="007E6BF2" w:rsidRDefault="007E6BF2" w:rsidP="007E6BF2">
            <w:pPr>
              <w:rPr>
                <w:rFonts w:ascii="Arial" w:hAnsi="Arial" w:cs="Arial"/>
              </w:rPr>
            </w:pPr>
            <w:r w:rsidRPr="007E6BF2">
              <w:rPr>
                <w:rFonts w:ascii="Arial" w:hAnsi="Arial" w:cs="Arial"/>
              </w:rPr>
              <w:t>84 419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</w:tcPr>
          <w:p w:rsidR="007E6BF2" w:rsidRPr="007E6BF2" w:rsidRDefault="007E6BF2" w:rsidP="007E6BF2">
            <w:pPr>
              <w:rPr>
                <w:rFonts w:ascii="Arial" w:hAnsi="Arial" w:cs="Arial"/>
              </w:rPr>
            </w:pPr>
            <w:r w:rsidRPr="007E6BF2">
              <w:rPr>
                <w:rFonts w:ascii="Arial" w:hAnsi="Arial" w:cs="Arial"/>
              </w:rPr>
              <w:t>62 434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</w:tcPr>
          <w:p w:rsidR="007E6BF2" w:rsidRPr="007E6BF2" w:rsidRDefault="007E6BF2" w:rsidP="007E6BF2">
            <w:pPr>
              <w:rPr>
                <w:rFonts w:ascii="Arial" w:hAnsi="Arial" w:cs="Arial"/>
              </w:rPr>
            </w:pPr>
            <w:r w:rsidRPr="007E6BF2">
              <w:rPr>
                <w:rFonts w:ascii="Arial" w:hAnsi="Arial" w:cs="Arial"/>
              </w:rPr>
              <w:t>35%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</w:tcPr>
          <w:p w:rsidR="007E6BF2" w:rsidRPr="007E6BF2" w:rsidRDefault="007E6BF2" w:rsidP="007E6BF2">
            <w:pPr>
              <w:rPr>
                <w:rFonts w:ascii="Arial" w:hAnsi="Arial" w:cs="Arial"/>
              </w:rPr>
            </w:pPr>
            <w:r w:rsidRPr="007E6BF2">
              <w:rPr>
                <w:rFonts w:ascii="Arial" w:hAnsi="Arial" w:cs="Arial"/>
              </w:rPr>
              <w:t>51 924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</w:tcPr>
          <w:p w:rsidR="007E6BF2" w:rsidRPr="007E6BF2" w:rsidRDefault="007E6BF2" w:rsidP="007E6BF2">
            <w:pPr>
              <w:rPr>
                <w:rFonts w:ascii="Arial" w:hAnsi="Arial" w:cs="Arial"/>
              </w:rPr>
            </w:pPr>
            <w:r w:rsidRPr="007E6BF2">
              <w:rPr>
                <w:rFonts w:ascii="Arial" w:hAnsi="Arial" w:cs="Arial"/>
              </w:rPr>
              <w:t>35 359</w:t>
            </w:r>
          </w:p>
        </w:tc>
        <w:tc>
          <w:tcPr>
            <w:tcW w:w="911" w:type="dxa"/>
            <w:tcBorders>
              <w:top w:val="single" w:sz="12" w:space="0" w:color="33CCCC"/>
              <w:left w:val="single" w:sz="12" w:space="0" w:color="33CCCC"/>
              <w:bottom w:val="single" w:sz="12" w:space="0" w:color="33CCCC"/>
              <w:right w:val="nil"/>
            </w:tcBorders>
          </w:tcPr>
          <w:p w:rsidR="007E6BF2" w:rsidRPr="007E6BF2" w:rsidRDefault="007E6BF2" w:rsidP="007E6BF2">
            <w:pPr>
              <w:rPr>
                <w:rFonts w:ascii="Arial" w:hAnsi="Arial" w:cs="Arial"/>
              </w:rPr>
            </w:pPr>
            <w:r w:rsidRPr="007E6BF2">
              <w:rPr>
                <w:rFonts w:ascii="Arial" w:hAnsi="Arial" w:cs="Arial"/>
              </w:rPr>
              <w:t>47%</w:t>
            </w:r>
          </w:p>
        </w:tc>
        <w:tc>
          <w:tcPr>
            <w:tcW w:w="1004" w:type="dxa"/>
            <w:tcBorders>
              <w:top w:val="single" w:sz="12" w:space="0" w:color="33CCCC"/>
              <w:left w:val="nil"/>
              <w:bottom w:val="single" w:sz="12" w:space="0" w:color="33CCCC"/>
              <w:right w:val="single" w:sz="12" w:space="0" w:color="33CCCC"/>
            </w:tcBorders>
          </w:tcPr>
          <w:p w:rsidR="007E6BF2" w:rsidRPr="007E6BF2" w:rsidRDefault="007E6BF2" w:rsidP="007E6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7E6BF2" w:rsidRPr="007E6BF2" w:rsidTr="00842029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33CCCC"/>
              <w:bottom w:val="single" w:sz="12" w:space="0" w:color="33CCCC"/>
              <w:right w:val="single" w:sz="12" w:space="0" w:color="33CCCC"/>
            </w:tcBorders>
            <w:shd w:val="solid" w:color="CCCCFF" w:fill="auto"/>
          </w:tcPr>
          <w:p w:rsidR="007E6BF2" w:rsidRPr="007E6BF2" w:rsidRDefault="007E6BF2" w:rsidP="007E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7E6BF2">
              <w:rPr>
                <w:rFonts w:ascii="Arial" w:hAnsi="Arial" w:cs="Arial"/>
                <w:color w:val="000000"/>
                <w:lang w:val="ru"/>
              </w:rPr>
              <w:t>LATAM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  <w:shd w:val="solid" w:color="CCCCFF" w:fill="auto"/>
          </w:tcPr>
          <w:p w:rsidR="007E6BF2" w:rsidRPr="007E6BF2" w:rsidRDefault="007E6BF2" w:rsidP="007E6BF2">
            <w:pPr>
              <w:rPr>
                <w:rFonts w:ascii="Arial" w:hAnsi="Arial" w:cs="Arial"/>
              </w:rPr>
            </w:pPr>
            <w:r w:rsidRPr="007E6BF2">
              <w:rPr>
                <w:rFonts w:ascii="Arial" w:hAnsi="Arial" w:cs="Arial"/>
              </w:rPr>
              <w:t>125 251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  <w:shd w:val="solid" w:color="CCCCFF" w:fill="auto"/>
          </w:tcPr>
          <w:p w:rsidR="007E6BF2" w:rsidRPr="007E6BF2" w:rsidRDefault="007E6BF2" w:rsidP="007E6BF2">
            <w:pPr>
              <w:rPr>
                <w:rFonts w:ascii="Arial" w:hAnsi="Arial" w:cs="Arial"/>
              </w:rPr>
            </w:pPr>
            <w:r w:rsidRPr="007E6BF2">
              <w:rPr>
                <w:rFonts w:ascii="Arial" w:hAnsi="Arial" w:cs="Arial"/>
              </w:rPr>
              <w:t>99 511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  <w:shd w:val="solid" w:color="CCCCFF" w:fill="auto"/>
          </w:tcPr>
          <w:p w:rsidR="007E6BF2" w:rsidRPr="007E6BF2" w:rsidRDefault="007E6BF2" w:rsidP="007E6BF2">
            <w:pPr>
              <w:rPr>
                <w:rFonts w:ascii="Arial" w:hAnsi="Arial" w:cs="Arial"/>
              </w:rPr>
            </w:pPr>
            <w:r w:rsidRPr="007E6BF2">
              <w:rPr>
                <w:rFonts w:ascii="Arial" w:hAnsi="Arial" w:cs="Arial"/>
              </w:rPr>
              <w:t>26%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  <w:shd w:val="solid" w:color="CCCCFF" w:fill="auto"/>
          </w:tcPr>
          <w:p w:rsidR="007E6BF2" w:rsidRPr="007E6BF2" w:rsidRDefault="007E6BF2" w:rsidP="007E6BF2">
            <w:pPr>
              <w:rPr>
                <w:rFonts w:ascii="Arial" w:hAnsi="Arial" w:cs="Arial"/>
              </w:rPr>
            </w:pPr>
            <w:r w:rsidRPr="007E6BF2">
              <w:rPr>
                <w:rFonts w:ascii="Arial" w:hAnsi="Arial" w:cs="Arial"/>
              </w:rPr>
              <w:t>56 085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33CCCC"/>
              <w:right w:val="single" w:sz="12" w:space="0" w:color="33CCCC"/>
            </w:tcBorders>
            <w:shd w:val="solid" w:color="CCCCFF" w:fill="auto"/>
          </w:tcPr>
          <w:p w:rsidR="007E6BF2" w:rsidRPr="007E6BF2" w:rsidRDefault="007E6BF2" w:rsidP="007E6BF2">
            <w:pPr>
              <w:rPr>
                <w:rFonts w:ascii="Arial" w:hAnsi="Arial" w:cs="Arial"/>
              </w:rPr>
            </w:pPr>
            <w:r w:rsidRPr="007E6BF2">
              <w:rPr>
                <w:rFonts w:ascii="Arial" w:hAnsi="Arial" w:cs="Arial"/>
              </w:rPr>
              <w:t>38 902</w:t>
            </w:r>
          </w:p>
        </w:tc>
        <w:tc>
          <w:tcPr>
            <w:tcW w:w="911" w:type="dxa"/>
            <w:tcBorders>
              <w:top w:val="single" w:sz="12" w:space="0" w:color="33CCCC"/>
              <w:left w:val="single" w:sz="12" w:space="0" w:color="33CCCC"/>
              <w:bottom w:val="single" w:sz="12" w:space="0" w:color="33CCCC"/>
              <w:right w:val="nil"/>
            </w:tcBorders>
            <w:shd w:val="solid" w:color="CCCCFF" w:fill="auto"/>
          </w:tcPr>
          <w:p w:rsidR="007E6BF2" w:rsidRPr="007E6BF2" w:rsidRDefault="007E6BF2" w:rsidP="007E6BF2">
            <w:pPr>
              <w:rPr>
                <w:rFonts w:ascii="Arial" w:hAnsi="Arial" w:cs="Arial"/>
              </w:rPr>
            </w:pPr>
            <w:r w:rsidRPr="007E6BF2">
              <w:rPr>
                <w:rFonts w:ascii="Arial" w:hAnsi="Arial" w:cs="Arial"/>
              </w:rPr>
              <w:t>44%</w:t>
            </w:r>
          </w:p>
        </w:tc>
        <w:tc>
          <w:tcPr>
            <w:tcW w:w="1004" w:type="dxa"/>
            <w:tcBorders>
              <w:top w:val="single" w:sz="12" w:space="0" w:color="33CCCC"/>
              <w:left w:val="nil"/>
              <w:bottom w:val="single" w:sz="12" w:space="0" w:color="33CCCC"/>
              <w:right w:val="single" w:sz="12" w:space="0" w:color="33CCCC"/>
            </w:tcBorders>
            <w:shd w:val="solid" w:color="CCCCFF" w:fill="auto"/>
          </w:tcPr>
          <w:p w:rsidR="007E6BF2" w:rsidRPr="007E6BF2" w:rsidRDefault="007E6BF2" w:rsidP="007E6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ru-RU"/>
              </w:rPr>
            </w:pPr>
          </w:p>
        </w:tc>
      </w:tr>
    </w:tbl>
    <w:p w:rsidR="00224232" w:rsidRDefault="00224232" w:rsidP="00224232">
      <w:pPr>
        <w:autoSpaceDE w:val="0"/>
        <w:autoSpaceDN w:val="0"/>
        <w:spacing w:line="24" w:lineRule="atLeast"/>
        <w:jc w:val="both"/>
        <w:rPr>
          <w:rFonts w:ascii="Arial" w:hAnsi="Arial" w:cs="Arial"/>
          <w:color w:val="222222"/>
          <w:shd w:val="clear" w:color="auto" w:fill="FFFFFF"/>
        </w:rPr>
      </w:pPr>
    </w:p>
    <w:p w:rsidR="00224232" w:rsidRPr="003808EF" w:rsidRDefault="00C26BB2" w:rsidP="003808EF">
      <w:pPr>
        <w:autoSpaceDE w:val="0"/>
        <w:autoSpaceDN w:val="0"/>
        <w:spacing w:after="0" w:line="24" w:lineRule="atLeast"/>
        <w:jc w:val="both"/>
        <w:rPr>
          <w:rFonts w:ascii="Arial" w:eastAsia="Times New Roman" w:hAnsi="Arial" w:cs="Arial"/>
          <w:color w:val="222222"/>
          <w:shd w:val="clear" w:color="auto" w:fill="FFFFFF"/>
        </w:rPr>
      </w:pPr>
      <w:r w:rsidRPr="003808EF">
        <w:rPr>
          <w:rFonts w:ascii="Arial" w:eastAsia="Times New Roman" w:hAnsi="Arial" w:cs="Arial"/>
          <w:color w:val="222222"/>
          <w:shd w:val="clear" w:color="auto" w:fill="FFFFFF"/>
          <w:lang w:val="ru"/>
        </w:rPr>
        <w:t>Рост</w:t>
      </w:r>
    </w:p>
    <w:p w:rsidR="00224232" w:rsidRPr="00685672" w:rsidRDefault="00C26BB2" w:rsidP="003808EF">
      <w:pPr>
        <w:autoSpaceDE w:val="0"/>
        <w:autoSpaceDN w:val="0"/>
        <w:spacing w:after="0" w:line="24" w:lineRule="atLeast"/>
        <w:jc w:val="both"/>
        <w:rPr>
          <w:rFonts w:ascii="Arial" w:eastAsia="Times New Roman" w:hAnsi="Arial" w:cs="Arial"/>
          <w:color w:val="222222"/>
          <w:shd w:val="clear" w:color="auto" w:fill="FFFFFF"/>
          <w:lang w:val="ru-RU"/>
        </w:rPr>
      </w:pPr>
      <w:r w:rsidRPr="003808EF">
        <w:rPr>
          <w:rFonts w:ascii="Arial" w:eastAsia="Times New Roman" w:hAnsi="Arial" w:cs="Arial"/>
          <w:color w:val="222222"/>
          <w:shd w:val="clear" w:color="auto" w:fill="FFFFFF"/>
          <w:lang w:val="ru"/>
        </w:rPr>
        <w:t>* За 6-месячный период, закончившийся 30 сентября 2022 года</w:t>
      </w:r>
    </w:p>
    <w:p w:rsidR="00224232" w:rsidRPr="00685672" w:rsidRDefault="00C26BB2" w:rsidP="003808EF">
      <w:pPr>
        <w:autoSpaceDE w:val="0"/>
        <w:autoSpaceDN w:val="0"/>
        <w:spacing w:after="0" w:line="24" w:lineRule="atLeast"/>
        <w:jc w:val="both"/>
        <w:rPr>
          <w:rFonts w:ascii="Arial" w:eastAsia="Times New Roman" w:hAnsi="Arial" w:cs="Arial"/>
          <w:color w:val="222222"/>
          <w:shd w:val="clear" w:color="auto" w:fill="FFFFFF"/>
          <w:lang w:val="ru-RU"/>
        </w:rPr>
      </w:pPr>
      <w:r w:rsidRPr="003808EF">
        <w:rPr>
          <w:rFonts w:ascii="Arial" w:eastAsia="Times New Roman" w:hAnsi="Arial" w:cs="Arial"/>
          <w:color w:val="222222"/>
          <w:shd w:val="clear" w:color="auto" w:fill="FFFFFF"/>
          <w:lang w:val="ru"/>
        </w:rPr>
        <w:t>** Региональные показатели включают внутрикорпоративные продажи</w:t>
      </w:r>
    </w:p>
    <w:p w:rsidR="004A22F0" w:rsidRPr="00685672" w:rsidRDefault="004A22F0" w:rsidP="00683B87">
      <w:pPr>
        <w:spacing w:after="0" w:line="312" w:lineRule="auto"/>
        <w:rPr>
          <w:rFonts w:ascii="Arial" w:hAnsi="Arial" w:cs="Arial"/>
          <w:lang w:val="ru-RU"/>
        </w:rPr>
      </w:pPr>
    </w:p>
    <w:p w:rsidR="00842029" w:rsidRPr="00685672" w:rsidRDefault="00842029" w:rsidP="003808EF">
      <w:pPr>
        <w:spacing w:line="24" w:lineRule="atLeast"/>
        <w:jc w:val="both"/>
        <w:rPr>
          <w:rFonts w:ascii="Arial" w:hAnsi="Arial" w:cs="Arial"/>
          <w:b/>
          <w:bCs/>
          <w:caps/>
          <w:lang w:val="ru-RU"/>
        </w:rPr>
      </w:pPr>
    </w:p>
    <w:p w:rsidR="003808EF" w:rsidRPr="00685672" w:rsidRDefault="00C26BB2" w:rsidP="003808EF">
      <w:pPr>
        <w:spacing w:line="24" w:lineRule="atLeast"/>
        <w:jc w:val="both"/>
        <w:rPr>
          <w:rFonts w:ascii="Arial" w:hAnsi="Arial" w:cs="Arial"/>
          <w:b/>
          <w:lang w:val="ru-RU"/>
        </w:rPr>
      </w:pPr>
      <w:r w:rsidRPr="00D8335C">
        <w:rPr>
          <w:rFonts w:ascii="Arial" w:hAnsi="Arial" w:cs="Arial"/>
          <w:b/>
          <w:bCs/>
          <w:caps/>
          <w:lang w:val="ru"/>
        </w:rPr>
        <w:t>Обзор бизнеса</w:t>
      </w:r>
    </w:p>
    <w:p w:rsidR="003808EF" w:rsidRPr="00685672" w:rsidRDefault="00C26BB2" w:rsidP="003808EF">
      <w:pPr>
        <w:spacing w:line="24" w:lineRule="atLeast"/>
        <w:jc w:val="both"/>
        <w:rPr>
          <w:rFonts w:ascii="Arial" w:hAnsi="Arial" w:cs="Arial"/>
          <w:bCs/>
          <w:lang w:val="ru-RU"/>
        </w:rPr>
      </w:pPr>
      <w:r w:rsidRPr="00313136">
        <w:rPr>
          <w:rFonts w:ascii="Arial" w:hAnsi="Arial" w:cs="Arial"/>
          <w:b/>
          <w:bCs/>
          <w:lang w:val="ru"/>
        </w:rPr>
        <w:t>Услуги –</w:t>
      </w:r>
      <w:r w:rsidRPr="00313136">
        <w:rPr>
          <w:rFonts w:ascii="Arial" w:hAnsi="Arial" w:cs="Arial"/>
          <w:bCs/>
          <w:lang w:val="ru"/>
        </w:rPr>
        <w:t xml:space="preserve"> Услуги остаются сегментом с самыми высокими темпами роста. </w:t>
      </w:r>
      <w:r w:rsidR="007E6BF2">
        <w:rPr>
          <w:rFonts w:ascii="Arial" w:hAnsi="Arial" w:cs="Arial"/>
          <w:bCs/>
          <w:lang w:val="ru"/>
        </w:rPr>
        <w:t>Оборот</w:t>
      </w:r>
      <w:r w:rsidRPr="00313136">
        <w:rPr>
          <w:rFonts w:ascii="Arial" w:hAnsi="Arial" w:cs="Arial"/>
          <w:bCs/>
          <w:lang w:val="ru"/>
        </w:rPr>
        <w:t xml:space="preserve"> за 2</w:t>
      </w:r>
      <w:r w:rsidR="007E6BF2">
        <w:rPr>
          <w:rFonts w:ascii="Arial" w:hAnsi="Arial" w:cs="Arial"/>
          <w:bCs/>
          <w:lang w:val="ru"/>
        </w:rPr>
        <w:t>К</w:t>
      </w:r>
      <w:r w:rsidRPr="00313136">
        <w:rPr>
          <w:rFonts w:ascii="Arial" w:hAnsi="Arial" w:cs="Arial"/>
          <w:bCs/>
          <w:lang w:val="ru"/>
        </w:rPr>
        <w:t xml:space="preserve"> 2022 вырос на 105% до 31,3 млн долл. Услуги по-прежнему остаются самым прибыльным сегментом: </w:t>
      </w:r>
      <w:r w:rsidR="007E6BF2">
        <w:rPr>
          <w:rFonts w:ascii="Arial" w:hAnsi="Arial" w:cs="Arial"/>
          <w:bCs/>
          <w:lang w:val="ru"/>
        </w:rPr>
        <w:t xml:space="preserve">маржа по </w:t>
      </w:r>
      <w:r w:rsidRPr="00313136">
        <w:rPr>
          <w:rFonts w:ascii="Arial" w:hAnsi="Arial" w:cs="Arial"/>
          <w:bCs/>
          <w:lang w:val="ru"/>
        </w:rPr>
        <w:t>валов</w:t>
      </w:r>
      <w:r w:rsidR="007E6BF2">
        <w:rPr>
          <w:rFonts w:ascii="Arial" w:hAnsi="Arial" w:cs="Arial"/>
          <w:bCs/>
          <w:lang w:val="ru"/>
        </w:rPr>
        <w:t>ой</w:t>
      </w:r>
      <w:r w:rsidRPr="00313136">
        <w:rPr>
          <w:rFonts w:ascii="Arial" w:hAnsi="Arial" w:cs="Arial"/>
          <w:bCs/>
          <w:lang w:val="ru"/>
        </w:rPr>
        <w:t xml:space="preserve"> прибыл</w:t>
      </w:r>
      <w:r w:rsidR="007E6BF2">
        <w:rPr>
          <w:rFonts w:ascii="Arial" w:hAnsi="Arial" w:cs="Arial"/>
          <w:bCs/>
          <w:lang w:val="ru"/>
        </w:rPr>
        <w:t>и</w:t>
      </w:r>
      <w:r w:rsidRPr="00313136">
        <w:rPr>
          <w:rFonts w:ascii="Arial" w:hAnsi="Arial" w:cs="Arial"/>
          <w:bCs/>
          <w:lang w:val="ru"/>
        </w:rPr>
        <w:t xml:space="preserve"> составляет 83%. На долю услуг приходится 10% от </w:t>
      </w:r>
      <w:r w:rsidR="007E6BF2">
        <w:rPr>
          <w:rFonts w:ascii="Arial" w:hAnsi="Arial" w:cs="Arial"/>
          <w:bCs/>
          <w:lang w:val="ru"/>
        </w:rPr>
        <w:t>оборота</w:t>
      </w:r>
      <w:r w:rsidRPr="00313136">
        <w:rPr>
          <w:rFonts w:ascii="Arial" w:hAnsi="Arial" w:cs="Arial"/>
          <w:bCs/>
          <w:lang w:val="ru"/>
        </w:rPr>
        <w:t xml:space="preserve"> Группы и 52% от общей валовой прибыли. Большой вклад в рост услуг внесли новоприобретенные компании, а также сильный органический рост.</w:t>
      </w:r>
    </w:p>
    <w:p w:rsidR="003808EF" w:rsidRPr="00685672" w:rsidRDefault="00C26BB2" w:rsidP="003808EF">
      <w:pPr>
        <w:jc w:val="both"/>
        <w:rPr>
          <w:rFonts w:ascii="Arial" w:hAnsi="Arial" w:cs="Arial"/>
          <w:lang w:val="ru-RU"/>
        </w:rPr>
      </w:pPr>
      <w:r w:rsidRPr="00313136">
        <w:rPr>
          <w:rFonts w:ascii="Arial" w:hAnsi="Arial" w:cs="Arial"/>
          <w:b/>
          <w:bCs/>
          <w:iCs/>
          <w:lang w:val="ru"/>
        </w:rPr>
        <w:t>Программное обеспечение и облака</w:t>
      </w:r>
      <w:r w:rsidRPr="00313136">
        <w:rPr>
          <w:rFonts w:ascii="Arial" w:hAnsi="Arial" w:cs="Arial"/>
          <w:bCs/>
          <w:iCs/>
          <w:lang w:val="ru"/>
        </w:rPr>
        <w:t xml:space="preserve"> – </w:t>
      </w:r>
      <w:r w:rsidR="007E6BF2">
        <w:rPr>
          <w:rFonts w:ascii="Arial" w:hAnsi="Arial" w:cs="Arial"/>
          <w:bCs/>
          <w:iCs/>
          <w:lang w:val="ru"/>
        </w:rPr>
        <w:t>Оборот</w:t>
      </w:r>
      <w:r w:rsidRPr="00313136">
        <w:rPr>
          <w:rFonts w:ascii="Arial" w:hAnsi="Arial" w:cs="Arial"/>
          <w:bCs/>
          <w:iCs/>
          <w:lang w:val="ru"/>
        </w:rPr>
        <w:t xml:space="preserve"> от этого сегмента увеличилась на 23% в 2</w:t>
      </w:r>
      <w:r w:rsidR="007E6BF2">
        <w:rPr>
          <w:rFonts w:ascii="Arial" w:hAnsi="Arial" w:cs="Arial"/>
          <w:bCs/>
          <w:iCs/>
          <w:lang w:val="ru"/>
        </w:rPr>
        <w:t>К</w:t>
      </w:r>
      <w:r w:rsidRPr="00313136">
        <w:rPr>
          <w:rFonts w:ascii="Arial" w:hAnsi="Arial" w:cs="Arial"/>
          <w:bCs/>
          <w:iCs/>
          <w:lang w:val="ru"/>
        </w:rPr>
        <w:t xml:space="preserve"> 2022. </w:t>
      </w:r>
    </w:p>
    <w:p w:rsidR="003808EF" w:rsidRPr="00685672" w:rsidRDefault="00C26BB2" w:rsidP="003808EF">
      <w:pPr>
        <w:spacing w:line="24" w:lineRule="atLeast"/>
        <w:jc w:val="both"/>
        <w:rPr>
          <w:rFonts w:ascii="Arial" w:hAnsi="Arial" w:cs="Arial"/>
          <w:b/>
          <w:bCs/>
          <w:lang w:val="ru-RU"/>
        </w:rPr>
      </w:pPr>
      <w:r w:rsidRPr="008B7C67">
        <w:rPr>
          <w:rFonts w:ascii="Arial" w:hAnsi="Arial" w:cs="Arial"/>
          <w:b/>
          <w:bCs/>
          <w:lang w:val="ru"/>
        </w:rPr>
        <w:lastRenderedPageBreak/>
        <w:t>Аппаратное обеспечение —</w:t>
      </w:r>
      <w:r w:rsidRPr="008B7C67">
        <w:rPr>
          <w:rFonts w:ascii="Arial" w:hAnsi="Arial" w:cs="Arial"/>
          <w:lang w:val="ru"/>
        </w:rPr>
        <w:t xml:space="preserve"> В 2</w:t>
      </w:r>
      <w:r w:rsidR="007E6BF2">
        <w:rPr>
          <w:rFonts w:ascii="Arial" w:hAnsi="Arial" w:cs="Arial"/>
          <w:lang w:val="ru"/>
        </w:rPr>
        <w:t>К</w:t>
      </w:r>
      <w:r w:rsidRPr="008B7C67">
        <w:rPr>
          <w:rFonts w:ascii="Arial" w:hAnsi="Arial" w:cs="Arial"/>
          <w:lang w:val="ru"/>
        </w:rPr>
        <w:t xml:space="preserve"> 2022 </w:t>
      </w:r>
      <w:r w:rsidR="007E6BF2">
        <w:rPr>
          <w:rFonts w:ascii="Arial" w:hAnsi="Arial" w:cs="Arial"/>
          <w:lang w:val="ru"/>
        </w:rPr>
        <w:t>оборот</w:t>
      </w:r>
      <w:r w:rsidRPr="008B7C67">
        <w:rPr>
          <w:rFonts w:ascii="Arial" w:hAnsi="Arial" w:cs="Arial"/>
          <w:lang w:val="ru"/>
        </w:rPr>
        <w:t xml:space="preserve"> аппаратного обеспечения взлетел на 217</w:t>
      </w:r>
      <w:r w:rsidR="007E6BF2">
        <w:rPr>
          <w:rFonts w:ascii="Arial" w:hAnsi="Arial" w:cs="Arial"/>
          <w:lang w:val="ru"/>
        </w:rPr>
        <w:t>%</w:t>
      </w:r>
      <w:r w:rsidRPr="008B7C67">
        <w:rPr>
          <w:rFonts w:ascii="Arial" w:hAnsi="Arial" w:cs="Arial"/>
          <w:lang w:val="ru"/>
        </w:rPr>
        <w:t>. Рост наблюдается во всех регионах и сочетает как органический, так и неорганический рост.</w:t>
      </w:r>
    </w:p>
    <w:p w:rsidR="003808EF" w:rsidRPr="00685672" w:rsidRDefault="00C26BB2" w:rsidP="003808EF">
      <w:pPr>
        <w:jc w:val="both"/>
        <w:rPr>
          <w:rFonts w:ascii="Arial" w:hAnsi="Arial" w:cs="Arial"/>
          <w:lang w:val="ru-RU"/>
        </w:rPr>
      </w:pPr>
      <w:bookmarkStart w:id="1" w:name="_Hlk88669892"/>
      <w:r w:rsidRPr="008B7C67">
        <w:rPr>
          <w:rFonts w:ascii="Arial" w:hAnsi="Arial" w:cs="Arial"/>
          <w:b/>
          <w:lang w:val="ru"/>
        </w:rPr>
        <w:t>Региональный рост –</w:t>
      </w:r>
      <w:r w:rsidR="008B7C67" w:rsidRPr="008B7C67">
        <w:rPr>
          <w:rFonts w:ascii="Arial" w:hAnsi="Arial" w:cs="Arial"/>
          <w:lang w:val="ru"/>
        </w:rPr>
        <w:t xml:space="preserve"> сильный двузначный рост во всех регионах, как органический, так и обусловленный недавними приобретениями.</w:t>
      </w:r>
    </w:p>
    <w:bookmarkEnd w:id="1"/>
    <w:p w:rsidR="003808EF" w:rsidRPr="00685672" w:rsidRDefault="00C26BB2" w:rsidP="003808EF">
      <w:pPr>
        <w:spacing w:line="24" w:lineRule="atLeast"/>
        <w:jc w:val="both"/>
        <w:rPr>
          <w:rFonts w:ascii="Arial" w:hAnsi="Arial" w:cs="Arial"/>
          <w:b/>
          <w:lang w:val="ru-RU"/>
        </w:rPr>
      </w:pPr>
      <w:r w:rsidRPr="008B7C67">
        <w:rPr>
          <w:rFonts w:ascii="Arial" w:hAnsi="Arial" w:cs="Arial"/>
          <w:b/>
          <w:lang w:val="ru"/>
        </w:rPr>
        <w:t>Рентабельность</w:t>
      </w:r>
    </w:p>
    <w:p w:rsidR="003808EF" w:rsidRPr="00685672" w:rsidRDefault="00C26BB2" w:rsidP="003808EF">
      <w:pPr>
        <w:shd w:val="clear" w:color="auto" w:fill="FFFFFF"/>
        <w:jc w:val="both"/>
        <w:rPr>
          <w:rFonts w:ascii="Arial" w:hAnsi="Arial" w:cs="Arial"/>
          <w:lang w:val="ru-RU"/>
        </w:rPr>
      </w:pPr>
      <w:r w:rsidRPr="008B7C67">
        <w:rPr>
          <w:rFonts w:ascii="Arial" w:hAnsi="Arial" w:cs="Arial"/>
          <w:lang w:val="ru"/>
        </w:rPr>
        <w:t>Валовая прибыль в 2</w:t>
      </w:r>
      <w:r w:rsidR="007E6BF2">
        <w:rPr>
          <w:rFonts w:ascii="Arial" w:hAnsi="Arial" w:cs="Arial"/>
          <w:lang w:val="ru"/>
        </w:rPr>
        <w:t>К</w:t>
      </w:r>
      <w:r w:rsidRPr="008B7C67">
        <w:rPr>
          <w:rFonts w:ascii="Arial" w:hAnsi="Arial" w:cs="Arial"/>
          <w:lang w:val="ru"/>
        </w:rPr>
        <w:t xml:space="preserve"> 2022 составила 49,9 млн долл., увеличившись на 66% </w:t>
      </w:r>
      <w:r w:rsidR="007E6BF2">
        <w:rPr>
          <w:rFonts w:ascii="Arial" w:hAnsi="Arial" w:cs="Arial"/>
          <w:lang w:val="ru"/>
        </w:rPr>
        <w:t>год к году</w:t>
      </w:r>
      <w:r w:rsidRPr="008B7C67">
        <w:rPr>
          <w:rFonts w:ascii="Arial" w:hAnsi="Arial" w:cs="Arial"/>
          <w:lang w:val="ru"/>
        </w:rPr>
        <w:t>. Рост был особенно сильным в с</w:t>
      </w:r>
      <w:r w:rsidR="007E6BF2">
        <w:rPr>
          <w:rFonts w:ascii="Arial" w:hAnsi="Arial" w:cs="Arial"/>
          <w:lang w:val="ru"/>
        </w:rPr>
        <w:t>егменте</w:t>
      </w:r>
      <w:r w:rsidRPr="008B7C67">
        <w:rPr>
          <w:rFonts w:ascii="Arial" w:hAnsi="Arial" w:cs="Arial"/>
          <w:lang w:val="ru"/>
        </w:rPr>
        <w:t xml:space="preserve"> аппаратного обеспечения (+475% </w:t>
      </w:r>
      <w:r w:rsidR="007E6BF2">
        <w:rPr>
          <w:rFonts w:ascii="Arial" w:hAnsi="Arial" w:cs="Arial"/>
          <w:lang w:val="ru"/>
        </w:rPr>
        <w:t>год к году</w:t>
      </w:r>
      <w:r w:rsidRPr="008B7C67">
        <w:rPr>
          <w:rFonts w:ascii="Arial" w:hAnsi="Arial" w:cs="Arial"/>
          <w:lang w:val="ru"/>
        </w:rPr>
        <w:t>) и услуг (+71% год</w:t>
      </w:r>
      <w:r w:rsidR="007E6BF2">
        <w:rPr>
          <w:rFonts w:ascii="Arial" w:hAnsi="Arial" w:cs="Arial"/>
          <w:lang w:val="ru"/>
        </w:rPr>
        <w:t xml:space="preserve"> к году</w:t>
      </w:r>
      <w:r w:rsidRPr="008B7C67">
        <w:rPr>
          <w:rFonts w:ascii="Arial" w:hAnsi="Arial" w:cs="Arial"/>
          <w:lang w:val="ru"/>
        </w:rPr>
        <w:t>). В 2</w:t>
      </w:r>
      <w:r w:rsidR="00A25687">
        <w:rPr>
          <w:rFonts w:ascii="Arial" w:hAnsi="Arial" w:cs="Arial"/>
          <w:lang w:val="ru"/>
        </w:rPr>
        <w:t>К</w:t>
      </w:r>
      <w:r w:rsidRPr="008B7C67">
        <w:rPr>
          <w:rFonts w:ascii="Arial" w:hAnsi="Arial" w:cs="Arial"/>
          <w:lang w:val="ru"/>
        </w:rPr>
        <w:t xml:space="preserve"> 2022 маржа </w:t>
      </w:r>
      <w:r w:rsidR="00A25687">
        <w:rPr>
          <w:rFonts w:ascii="Arial" w:hAnsi="Arial" w:cs="Arial"/>
          <w:lang w:val="ru"/>
        </w:rPr>
        <w:t xml:space="preserve">по </w:t>
      </w:r>
      <w:r w:rsidRPr="008B7C67">
        <w:rPr>
          <w:rFonts w:ascii="Arial" w:hAnsi="Arial" w:cs="Arial"/>
          <w:lang w:val="ru"/>
        </w:rPr>
        <w:t xml:space="preserve">валовой прибыли по выручке составила 15,6%. В </w:t>
      </w:r>
      <w:r w:rsidR="00D61F01">
        <w:rPr>
          <w:rFonts w:ascii="Arial" w:hAnsi="Arial" w:cs="Arial"/>
          <w:lang w:val="ru"/>
        </w:rPr>
        <w:t>2</w:t>
      </w:r>
      <w:r w:rsidR="00A25687">
        <w:rPr>
          <w:rFonts w:ascii="Arial" w:hAnsi="Arial" w:cs="Arial"/>
          <w:lang w:val="ru"/>
        </w:rPr>
        <w:t>К</w:t>
      </w:r>
      <w:r w:rsidR="00D61F01">
        <w:rPr>
          <w:rFonts w:ascii="Arial" w:hAnsi="Arial" w:cs="Arial"/>
          <w:lang w:val="ru"/>
        </w:rPr>
        <w:t xml:space="preserve"> прошлого года</w:t>
      </w:r>
      <w:r w:rsidRPr="008B7C67">
        <w:rPr>
          <w:rFonts w:ascii="Arial" w:hAnsi="Arial" w:cs="Arial"/>
          <w:lang w:val="ru"/>
        </w:rPr>
        <w:t xml:space="preserve"> этот показатель был равен 12,7%, что </w:t>
      </w:r>
      <w:r w:rsidR="00D61F01">
        <w:rPr>
          <w:rFonts w:ascii="Arial" w:hAnsi="Arial" w:cs="Arial"/>
          <w:lang w:val="ru"/>
        </w:rPr>
        <w:t>связано с</w:t>
      </w:r>
      <w:r w:rsidRPr="008B7C67">
        <w:rPr>
          <w:rFonts w:ascii="Arial" w:hAnsi="Arial" w:cs="Arial"/>
          <w:lang w:val="ru"/>
        </w:rPr>
        <w:t xml:space="preserve"> повышением доли услуг.</w:t>
      </w:r>
    </w:p>
    <w:p w:rsidR="003808EF" w:rsidRPr="00685672" w:rsidRDefault="00C26BB2" w:rsidP="003808EF">
      <w:pPr>
        <w:jc w:val="both"/>
        <w:rPr>
          <w:rFonts w:ascii="Arial" w:hAnsi="Arial" w:cs="Arial"/>
          <w:lang w:val="ru-RU"/>
        </w:rPr>
      </w:pPr>
      <w:r w:rsidRPr="008B7C67">
        <w:rPr>
          <w:rFonts w:ascii="Arial" w:hAnsi="Arial" w:cs="Arial"/>
          <w:lang w:val="ru"/>
        </w:rPr>
        <w:t>За 2</w:t>
      </w:r>
      <w:r w:rsidR="00A25687">
        <w:rPr>
          <w:rFonts w:ascii="Arial" w:hAnsi="Arial" w:cs="Arial"/>
          <w:lang w:val="ru"/>
        </w:rPr>
        <w:t>К</w:t>
      </w:r>
      <w:r w:rsidRPr="008B7C67">
        <w:rPr>
          <w:rFonts w:ascii="Arial" w:hAnsi="Arial" w:cs="Arial"/>
          <w:lang w:val="ru"/>
        </w:rPr>
        <w:t xml:space="preserve"> 2022 скорректированная EBITDA составила 4,4 млн долл. Скорректированная рентабельность по EBITDA, основанная на валовой прибыли, составила 8,7%. Значение скорректированной EBITDA обусловлено значительными инвестициями для будущего роста. </w:t>
      </w:r>
      <w:bookmarkStart w:id="2" w:name="_Hlk104192819"/>
      <w:r w:rsidRPr="008B7C67">
        <w:rPr>
          <w:rFonts w:ascii="Arial" w:hAnsi="Arial" w:cs="Arial"/>
          <w:lang w:val="ru"/>
        </w:rPr>
        <w:t xml:space="preserve">Мы инвестируем в людей, мотивацию и удержание, дальнейшую диверсификацию компании в сфере услуг, корпоративное управление, </w:t>
      </w:r>
      <w:r>
        <w:rPr>
          <w:rFonts w:ascii="Arial" w:hAnsi="Arial" w:cs="Arial"/>
          <w:lang w:val="ru"/>
        </w:rPr>
        <w:t xml:space="preserve">внедрение </w:t>
      </w:r>
      <w:r w:rsidRPr="008B7C67">
        <w:rPr>
          <w:rFonts w:ascii="Arial" w:hAnsi="Arial" w:cs="Arial"/>
          <w:lang w:val="ru"/>
        </w:rPr>
        <w:t>таки</w:t>
      </w:r>
      <w:r>
        <w:rPr>
          <w:rFonts w:ascii="Arial" w:hAnsi="Arial" w:cs="Arial"/>
          <w:lang w:val="ru"/>
        </w:rPr>
        <w:t>х</w:t>
      </w:r>
      <w:r w:rsidRPr="008B7C67">
        <w:rPr>
          <w:rFonts w:ascii="Arial" w:hAnsi="Arial" w:cs="Arial"/>
          <w:lang w:val="ru"/>
        </w:rPr>
        <w:t xml:space="preserve"> систем, как CRM, ERP и цифровые платформы.</w:t>
      </w:r>
    </w:p>
    <w:bookmarkEnd w:id="2"/>
    <w:p w:rsidR="00665063" w:rsidRPr="00685672" w:rsidRDefault="00C26BB2" w:rsidP="00665063">
      <w:pPr>
        <w:spacing w:line="24" w:lineRule="atLeast"/>
        <w:jc w:val="both"/>
        <w:rPr>
          <w:rFonts w:ascii="Arial" w:hAnsi="Arial" w:cs="Arial"/>
          <w:b/>
          <w:lang w:val="ru-RU"/>
        </w:rPr>
      </w:pPr>
      <w:r w:rsidRPr="00AE07B3">
        <w:rPr>
          <w:rFonts w:ascii="Arial" w:hAnsi="Arial" w:cs="Arial"/>
          <w:b/>
          <w:lang w:val="ru"/>
        </w:rPr>
        <w:t>Другие значимые финансовые события</w:t>
      </w:r>
    </w:p>
    <w:p w:rsidR="00665063" w:rsidRPr="00685672" w:rsidRDefault="00C26BB2" w:rsidP="003808EF">
      <w:pPr>
        <w:shd w:val="clear" w:color="auto" w:fill="FFFFFF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"/>
        </w:rPr>
        <w:t xml:space="preserve">После объявления 7 </w:t>
      </w:r>
      <w:r w:rsidRPr="00BA5B90">
        <w:rPr>
          <w:rFonts w:ascii="Arial" w:hAnsi="Arial" w:cs="Arial"/>
          <w:lang w:val="ru"/>
        </w:rPr>
        <w:t>октября</w:t>
      </w:r>
      <w:r>
        <w:rPr>
          <w:rFonts w:ascii="Arial" w:hAnsi="Arial" w:cs="Arial"/>
          <w:lang w:val="ru"/>
        </w:rPr>
        <w:t xml:space="preserve"> 2022 года о продаже своего российского бизнеса (</w:t>
      </w:r>
      <w:hyperlink r:id="rId10" w:history="1">
        <w:r w:rsidR="00BA5B90">
          <w:rPr>
            <w:rStyle w:val="a7"/>
            <w:rFonts w:ascii="Arial" w:hAnsi="Arial" w:cs="Arial"/>
            <w:lang w:val="ru"/>
          </w:rPr>
          <w:t>п</w:t>
        </w:r>
        <w:r w:rsidRPr="00C44CDA">
          <w:rPr>
            <w:rStyle w:val="a7"/>
            <w:rFonts w:ascii="Arial" w:hAnsi="Arial" w:cs="Arial"/>
            <w:lang w:val="ru"/>
          </w:rPr>
          <w:t>родажа российско</w:t>
        </w:r>
        <w:r w:rsidR="00BA5B90">
          <w:rPr>
            <w:rStyle w:val="a7"/>
            <w:rFonts w:ascii="Arial" w:hAnsi="Arial" w:cs="Arial"/>
            <w:lang w:val="ru"/>
          </w:rPr>
          <w:t>й части</w:t>
        </w:r>
        <w:r w:rsidRPr="00C44CDA">
          <w:rPr>
            <w:rStyle w:val="a7"/>
            <w:rFonts w:ascii="Arial" w:hAnsi="Arial" w:cs="Arial"/>
            <w:lang w:val="ru"/>
          </w:rPr>
          <w:t xml:space="preserve"> бизнеса EGM</w:t>
        </w:r>
      </w:hyperlink>
      <w:r>
        <w:rPr>
          <w:rFonts w:ascii="Arial" w:hAnsi="Arial" w:cs="Arial"/>
          <w:lang w:val="ru"/>
        </w:rPr>
        <w:t xml:space="preserve">), компания завершила эту сделку 20 </w:t>
      </w:r>
      <w:r w:rsidRPr="00BA5B90">
        <w:rPr>
          <w:rFonts w:ascii="Arial" w:hAnsi="Arial" w:cs="Arial"/>
          <w:lang w:val="ru"/>
        </w:rPr>
        <w:t>октября</w:t>
      </w:r>
      <w:r>
        <w:rPr>
          <w:rFonts w:ascii="Arial" w:hAnsi="Arial" w:cs="Arial"/>
          <w:lang w:val="ru"/>
        </w:rPr>
        <w:t xml:space="preserve">: </w:t>
      </w:r>
      <w:hyperlink r:id="rId11" w:history="1">
        <w:r w:rsidRPr="00C44CDA">
          <w:rPr>
            <w:rStyle w:val="a7"/>
            <w:rFonts w:ascii="Arial" w:hAnsi="Arial" w:cs="Arial"/>
            <w:lang w:val="ru"/>
          </w:rPr>
          <w:t>подтверждение продажи</w:t>
        </w:r>
      </w:hyperlink>
      <w:r>
        <w:rPr>
          <w:rFonts w:ascii="Arial" w:hAnsi="Arial" w:cs="Arial"/>
          <w:lang w:val="ru"/>
        </w:rPr>
        <w:t>.</w:t>
      </w:r>
    </w:p>
    <w:p w:rsidR="00C44CDA" w:rsidRPr="00685672" w:rsidRDefault="00C26BB2" w:rsidP="003808EF">
      <w:pPr>
        <w:shd w:val="clear" w:color="auto" w:fill="FFFFFF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"/>
        </w:rPr>
        <w:t xml:space="preserve">На общем собрании акционеров, состоявшемся 25 </w:t>
      </w:r>
      <w:r w:rsidRPr="00BA5B90">
        <w:rPr>
          <w:rFonts w:ascii="Arial" w:hAnsi="Arial" w:cs="Arial"/>
          <w:lang w:val="ru"/>
        </w:rPr>
        <w:t>октября</w:t>
      </w:r>
      <w:r>
        <w:rPr>
          <w:rFonts w:ascii="Arial" w:hAnsi="Arial" w:cs="Arial"/>
          <w:lang w:val="ru"/>
        </w:rPr>
        <w:t xml:space="preserve"> 2022 года, акционеры одобрили </w:t>
      </w:r>
      <w:r w:rsidR="00A25687">
        <w:rPr>
          <w:rFonts w:ascii="Arial" w:hAnsi="Arial" w:cs="Arial"/>
          <w:lang w:val="ru"/>
        </w:rPr>
        <w:t xml:space="preserve">связанный со сделкой </w:t>
      </w:r>
      <w:r>
        <w:rPr>
          <w:rFonts w:ascii="Arial" w:hAnsi="Arial" w:cs="Arial"/>
          <w:lang w:val="ru"/>
        </w:rPr>
        <w:t>в</w:t>
      </w:r>
      <w:r w:rsidR="00A25687">
        <w:rPr>
          <w:rFonts w:ascii="Arial" w:hAnsi="Arial" w:cs="Arial"/>
          <w:lang w:val="ru"/>
        </w:rPr>
        <w:t>ыпуск бонусных акций</w:t>
      </w:r>
      <w:r>
        <w:rPr>
          <w:rFonts w:ascii="Arial" w:hAnsi="Arial" w:cs="Arial"/>
          <w:lang w:val="ru"/>
        </w:rPr>
        <w:t xml:space="preserve">: </w:t>
      </w:r>
      <w:hyperlink r:id="rId12" w:history="1">
        <w:r w:rsidRPr="00C44CDA">
          <w:rPr>
            <w:rStyle w:val="a7"/>
            <w:rFonts w:ascii="Arial" w:hAnsi="Arial" w:cs="Arial"/>
            <w:lang w:val="ru"/>
          </w:rPr>
          <w:t>результаты общего собрания</w:t>
        </w:r>
      </w:hyperlink>
      <w:r>
        <w:rPr>
          <w:rFonts w:ascii="Arial" w:hAnsi="Arial" w:cs="Arial"/>
          <w:lang w:val="ru"/>
        </w:rPr>
        <w:t>.</w:t>
      </w:r>
    </w:p>
    <w:p w:rsidR="00C44CDA" w:rsidRPr="00685672" w:rsidRDefault="00C44CDA" w:rsidP="003808EF">
      <w:pPr>
        <w:shd w:val="clear" w:color="auto" w:fill="FFFFFF"/>
        <w:jc w:val="both"/>
        <w:rPr>
          <w:rFonts w:ascii="Arial" w:hAnsi="Arial" w:cs="Arial"/>
          <w:b/>
          <w:lang w:val="ru-RU"/>
        </w:rPr>
      </w:pPr>
    </w:p>
    <w:p w:rsidR="003808EF" w:rsidRPr="00685672" w:rsidRDefault="00C26BB2" w:rsidP="003808EF">
      <w:pPr>
        <w:shd w:val="clear" w:color="auto" w:fill="FFFFFF"/>
        <w:jc w:val="both"/>
        <w:rPr>
          <w:rFonts w:ascii="Arial" w:hAnsi="Arial" w:cs="Arial"/>
          <w:b/>
          <w:lang w:val="ru-RU"/>
        </w:rPr>
      </w:pPr>
      <w:r w:rsidRPr="00D8335C">
        <w:rPr>
          <w:rFonts w:ascii="Arial" w:hAnsi="Arial" w:cs="Arial"/>
          <w:b/>
          <w:lang w:val="ru"/>
        </w:rPr>
        <w:t>Баланс и ликвидность</w:t>
      </w:r>
    </w:p>
    <w:p w:rsidR="00147AAF" w:rsidRDefault="00C26BB2" w:rsidP="003808EF">
      <w:pPr>
        <w:rPr>
          <w:rFonts w:ascii="Arial" w:hAnsi="Arial" w:cs="Arial"/>
          <w:lang w:val="ru"/>
        </w:rPr>
      </w:pPr>
      <w:bookmarkStart w:id="3" w:name="_Hlk95753693"/>
      <w:r w:rsidRPr="00413CF7">
        <w:rPr>
          <w:rFonts w:ascii="Arial" w:hAnsi="Arial" w:cs="Arial"/>
          <w:lang w:val="ru"/>
        </w:rPr>
        <w:t xml:space="preserve">На отчетную дату чистый долг был отрицательным (денежные средства превышают долг). </w:t>
      </w:r>
    </w:p>
    <w:p w:rsidR="003808EF" w:rsidRPr="00685672" w:rsidRDefault="00A25687" w:rsidP="003808EF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"/>
        </w:rPr>
        <w:t>Денежный средства</w:t>
      </w:r>
      <w:r w:rsidR="00C26BB2" w:rsidRPr="00413CF7">
        <w:rPr>
          <w:rFonts w:ascii="Arial" w:hAnsi="Arial" w:cs="Arial"/>
          <w:lang w:val="ru"/>
        </w:rPr>
        <w:t xml:space="preserve"> на 30 сентября 2022 года составлял</w:t>
      </w:r>
      <w:r>
        <w:rPr>
          <w:rFonts w:ascii="Arial" w:hAnsi="Arial" w:cs="Arial"/>
          <w:lang w:val="ru"/>
        </w:rPr>
        <w:t>и</w:t>
      </w:r>
      <w:r w:rsidR="00C26BB2" w:rsidRPr="00413CF7">
        <w:rPr>
          <w:rFonts w:ascii="Arial" w:hAnsi="Arial" w:cs="Arial"/>
          <w:lang w:val="ru"/>
        </w:rPr>
        <w:t xml:space="preserve"> 221,6 млн долл.</w:t>
      </w:r>
    </w:p>
    <w:p w:rsidR="00413CF7" w:rsidRPr="00685672" w:rsidRDefault="00C26BB2" w:rsidP="00665063">
      <w:pPr>
        <w:spacing w:line="24" w:lineRule="atLeast"/>
        <w:jc w:val="both"/>
        <w:rPr>
          <w:rFonts w:ascii="Arial" w:hAnsi="Arial" w:cs="Arial"/>
          <w:lang w:val="ru-RU"/>
        </w:rPr>
      </w:pPr>
      <w:r w:rsidRPr="00413CF7">
        <w:rPr>
          <w:rFonts w:ascii="Arial" w:hAnsi="Arial" w:cs="Arial"/>
          <w:lang w:val="ru"/>
        </w:rPr>
        <w:t>Чистый оборотный капитал на 30.09.22 составил 55,8 млн долл. Это связано с сезонностью бизнеса.</w:t>
      </w:r>
    </w:p>
    <w:bookmarkEnd w:id="3"/>
    <w:p w:rsidR="00C44CDA" w:rsidRPr="00685672" w:rsidRDefault="00C44CDA" w:rsidP="003808EF">
      <w:pPr>
        <w:spacing w:line="24" w:lineRule="atLeast"/>
        <w:jc w:val="both"/>
        <w:rPr>
          <w:rFonts w:ascii="Arial" w:hAnsi="Arial" w:cs="Arial"/>
          <w:b/>
          <w:lang w:val="ru-RU"/>
        </w:rPr>
      </w:pPr>
    </w:p>
    <w:p w:rsidR="003808EF" w:rsidRPr="00685672" w:rsidRDefault="00C26BB2" w:rsidP="003808EF">
      <w:pPr>
        <w:spacing w:line="24" w:lineRule="atLeast"/>
        <w:jc w:val="both"/>
        <w:rPr>
          <w:rFonts w:ascii="Arial" w:hAnsi="Arial" w:cs="Arial"/>
          <w:b/>
          <w:lang w:val="ru-RU"/>
        </w:rPr>
      </w:pPr>
      <w:r w:rsidRPr="00D8335C">
        <w:rPr>
          <w:rFonts w:ascii="Arial" w:hAnsi="Arial" w:cs="Arial"/>
          <w:b/>
          <w:lang w:val="ru"/>
        </w:rPr>
        <w:t>M&amp;A (слияния и поглощения)</w:t>
      </w:r>
    </w:p>
    <w:p w:rsidR="00D9014E" w:rsidRPr="00685672" w:rsidRDefault="00C26BB2" w:rsidP="00D9014E">
      <w:pPr>
        <w:rPr>
          <w:rFonts w:ascii="Arial" w:hAnsi="Arial" w:cs="Arial"/>
          <w:lang w:val="ru-RU"/>
        </w:rPr>
      </w:pPr>
      <w:bookmarkStart w:id="4" w:name="_Hlk119512954"/>
      <w:bookmarkStart w:id="5" w:name="_Hlk110800423"/>
      <w:r w:rsidRPr="00D9014E">
        <w:rPr>
          <w:rFonts w:ascii="Arial" w:hAnsi="Arial" w:cs="Arial"/>
          <w:lang w:val="ru"/>
        </w:rPr>
        <w:t>Стратегия слияний и поглощений Noventiq лежит в основе трехмерной стратегии роста. В течение последних нескольких лет компания уделяла особое внимание ключевым стратегическим целям. В этом году Noventiq объявила о двух значимых сделках в первой половине 2022 финансового года. Оба приобретения помогут компании укрепить позиции в ближневосточном регионе и за его пределами:</w:t>
      </w:r>
    </w:p>
    <w:p w:rsidR="00BA5B90" w:rsidRPr="00BA5B90" w:rsidRDefault="00C26BB2" w:rsidP="00D9014E">
      <w:pPr>
        <w:pStyle w:val="a3"/>
        <w:numPr>
          <w:ilvl w:val="0"/>
          <w:numId w:val="23"/>
        </w:numPr>
        <w:spacing w:line="252" w:lineRule="auto"/>
        <w:jc w:val="both"/>
        <w:rPr>
          <w:rFonts w:ascii="Arial" w:eastAsia="Times New Roman" w:hAnsi="Arial" w:cs="Arial"/>
          <w:lang w:val="ru-RU"/>
        </w:rPr>
      </w:pPr>
      <w:bookmarkStart w:id="6" w:name="_Hlk120006593"/>
      <w:proofErr w:type="spellStart"/>
      <w:r w:rsidRPr="00BA5B90">
        <w:rPr>
          <w:rFonts w:ascii="Arial" w:eastAsia="Times New Roman" w:hAnsi="Arial" w:cs="Arial"/>
          <w:b/>
          <w:bCs/>
          <w:lang w:val="ru"/>
        </w:rPr>
        <w:t>Seven</w:t>
      </w:r>
      <w:proofErr w:type="spellEnd"/>
      <w:r w:rsidRPr="00BA5B90">
        <w:rPr>
          <w:rFonts w:ascii="Arial" w:eastAsia="Times New Roman" w:hAnsi="Arial" w:cs="Arial"/>
          <w:b/>
          <w:bCs/>
          <w:lang w:val="ru"/>
        </w:rPr>
        <w:t xml:space="preserve"> </w:t>
      </w:r>
      <w:proofErr w:type="spellStart"/>
      <w:r w:rsidRPr="00BA5B90">
        <w:rPr>
          <w:rFonts w:ascii="Arial" w:eastAsia="Times New Roman" w:hAnsi="Arial" w:cs="Arial"/>
          <w:b/>
          <w:bCs/>
          <w:lang w:val="ru"/>
        </w:rPr>
        <w:t>Seas</w:t>
      </w:r>
      <w:proofErr w:type="spellEnd"/>
      <w:r w:rsidRPr="00BA5B90">
        <w:rPr>
          <w:rFonts w:ascii="Arial" w:eastAsia="Times New Roman" w:hAnsi="Arial" w:cs="Arial"/>
          <w:b/>
          <w:bCs/>
          <w:lang w:val="ru"/>
        </w:rPr>
        <w:t xml:space="preserve"> </w:t>
      </w:r>
      <w:proofErr w:type="spellStart"/>
      <w:r w:rsidRPr="00BA5B90">
        <w:rPr>
          <w:rFonts w:ascii="Arial" w:eastAsia="Times New Roman" w:hAnsi="Arial" w:cs="Arial"/>
          <w:b/>
          <w:bCs/>
          <w:lang w:val="ru"/>
        </w:rPr>
        <w:t>Technology</w:t>
      </w:r>
      <w:proofErr w:type="spellEnd"/>
      <w:r w:rsidRPr="00BA5B90">
        <w:rPr>
          <w:rFonts w:ascii="Arial" w:eastAsia="Times New Roman" w:hAnsi="Arial" w:cs="Arial"/>
          <w:b/>
          <w:bCs/>
          <w:lang w:val="ru"/>
        </w:rPr>
        <w:t xml:space="preserve"> (июнь 2022):</w:t>
      </w:r>
      <w:r w:rsidRPr="00BA5B90">
        <w:rPr>
          <w:rFonts w:ascii="Arial" w:eastAsia="Times New Roman" w:hAnsi="Arial" w:cs="Arial"/>
          <w:lang w:val="ru"/>
        </w:rPr>
        <w:t xml:space="preserve"> Компания Noventiq значительно расширила свое присутствие на Ближнем Востоке благодаря приобретению компании Seven Seas Technology, которая является ведущим системным интегратором и поставщиком решений в области информационно-коммуникационных технологий (ИКТ) в ОАЭ. Компания сотрудничает </w:t>
      </w:r>
      <w:r w:rsidR="00BA5B90" w:rsidRPr="00BA5B90">
        <w:rPr>
          <w:rFonts w:ascii="Arial" w:eastAsia="Times New Roman" w:hAnsi="Arial" w:cs="Arial"/>
          <w:lang w:val="ru"/>
        </w:rPr>
        <w:t xml:space="preserve">с </w:t>
      </w:r>
      <w:r w:rsidRPr="00BA5B90">
        <w:rPr>
          <w:rFonts w:ascii="Arial" w:eastAsia="Times New Roman" w:hAnsi="Arial" w:cs="Arial"/>
          <w:lang w:val="ru"/>
        </w:rPr>
        <w:t xml:space="preserve">такими технологическими гигантами, как Microsoft, HPE и Cisco, </w:t>
      </w:r>
      <w:r w:rsidR="00BA5B90" w:rsidRPr="00BA5B90">
        <w:rPr>
          <w:rFonts w:ascii="Arial" w:eastAsia="Times New Roman" w:hAnsi="Arial" w:cs="Arial"/>
          <w:lang w:val="ru"/>
        </w:rPr>
        <w:t xml:space="preserve">компания предоставляет средним и крупным предприятиям решения в области совместной работы в облачных средах. SST обладает 15 компетенциями уровня </w:t>
      </w:r>
      <w:proofErr w:type="spellStart"/>
      <w:r w:rsidR="00BA5B90" w:rsidRPr="00BA5B90">
        <w:rPr>
          <w:rFonts w:ascii="Arial" w:eastAsia="Times New Roman" w:hAnsi="Arial" w:cs="Arial"/>
          <w:lang w:val="ru"/>
        </w:rPr>
        <w:t>Gold</w:t>
      </w:r>
      <w:proofErr w:type="spellEnd"/>
      <w:r w:rsidR="00BA5B90" w:rsidRPr="00BA5B90">
        <w:rPr>
          <w:rFonts w:ascii="Arial" w:eastAsia="Times New Roman" w:hAnsi="Arial" w:cs="Arial"/>
          <w:lang w:val="ru"/>
        </w:rPr>
        <w:t xml:space="preserve"> от компании </w:t>
      </w:r>
      <w:proofErr w:type="spellStart"/>
      <w:r w:rsidR="00BA5B90" w:rsidRPr="00BA5B90">
        <w:rPr>
          <w:rFonts w:ascii="Arial" w:eastAsia="Times New Roman" w:hAnsi="Arial" w:cs="Arial"/>
          <w:lang w:val="ru"/>
        </w:rPr>
        <w:t>Microsoft</w:t>
      </w:r>
      <w:proofErr w:type="spellEnd"/>
      <w:r w:rsidR="00BA5B90" w:rsidRPr="00BA5B90">
        <w:rPr>
          <w:rFonts w:ascii="Arial" w:eastAsia="Times New Roman" w:hAnsi="Arial" w:cs="Arial"/>
          <w:lang w:val="ru"/>
        </w:rPr>
        <w:t xml:space="preserve">, а также несколькими расширенными статусами: </w:t>
      </w:r>
      <w:proofErr w:type="spellStart"/>
      <w:r w:rsidR="00BA5B90" w:rsidRPr="00BA5B90">
        <w:rPr>
          <w:rFonts w:ascii="Arial" w:eastAsia="Times New Roman" w:hAnsi="Arial" w:cs="Arial"/>
          <w:lang w:val="ru"/>
        </w:rPr>
        <w:t>Platinum</w:t>
      </w:r>
      <w:proofErr w:type="spellEnd"/>
      <w:r w:rsidR="00BA5B90" w:rsidRPr="00BA5B90">
        <w:rPr>
          <w:rFonts w:ascii="Arial" w:eastAsia="Times New Roman" w:hAnsi="Arial" w:cs="Arial"/>
          <w:lang w:val="ru"/>
        </w:rPr>
        <w:t xml:space="preserve"> </w:t>
      </w:r>
      <w:proofErr w:type="spellStart"/>
      <w:r w:rsidR="00BA5B90" w:rsidRPr="00BA5B90">
        <w:rPr>
          <w:rFonts w:ascii="Arial" w:eastAsia="Times New Roman" w:hAnsi="Arial" w:cs="Arial"/>
          <w:lang w:val="ru"/>
        </w:rPr>
        <w:t>Cloud</w:t>
      </w:r>
      <w:proofErr w:type="spellEnd"/>
      <w:r w:rsidR="00BA5B90" w:rsidRPr="00BA5B90">
        <w:rPr>
          <w:rFonts w:ascii="Arial" w:eastAsia="Times New Roman" w:hAnsi="Arial" w:cs="Arial"/>
          <w:lang w:val="ru"/>
        </w:rPr>
        <w:t xml:space="preserve"> </w:t>
      </w:r>
      <w:proofErr w:type="spellStart"/>
      <w:r w:rsidR="00BA5B90" w:rsidRPr="00BA5B90">
        <w:rPr>
          <w:rFonts w:ascii="Arial" w:eastAsia="Times New Roman" w:hAnsi="Arial" w:cs="Arial"/>
          <w:lang w:val="ru"/>
        </w:rPr>
        <w:t>Solutions</w:t>
      </w:r>
      <w:proofErr w:type="spellEnd"/>
      <w:r w:rsidR="00BA5B90" w:rsidRPr="00BA5B90">
        <w:rPr>
          <w:rFonts w:ascii="Arial" w:eastAsia="Times New Roman" w:hAnsi="Arial" w:cs="Arial"/>
          <w:lang w:val="ru"/>
        </w:rPr>
        <w:t xml:space="preserve"> </w:t>
      </w:r>
      <w:proofErr w:type="spellStart"/>
      <w:r w:rsidR="00BA5B90" w:rsidRPr="00BA5B90">
        <w:rPr>
          <w:rFonts w:ascii="Arial" w:eastAsia="Times New Roman" w:hAnsi="Arial" w:cs="Arial"/>
          <w:lang w:val="ru"/>
        </w:rPr>
        <w:t>Provider</w:t>
      </w:r>
      <w:proofErr w:type="spellEnd"/>
      <w:r w:rsidR="00BA5B90" w:rsidRPr="00BA5B90">
        <w:rPr>
          <w:rFonts w:ascii="Arial" w:eastAsia="Times New Roman" w:hAnsi="Arial" w:cs="Arial"/>
          <w:lang w:val="ru"/>
        </w:rPr>
        <w:t xml:space="preserve"> от HPE, </w:t>
      </w:r>
      <w:proofErr w:type="spellStart"/>
      <w:r w:rsidR="00BA5B90" w:rsidRPr="00BA5B90">
        <w:rPr>
          <w:rFonts w:ascii="Arial" w:eastAsia="Times New Roman" w:hAnsi="Arial" w:cs="Arial"/>
          <w:lang w:val="ru"/>
        </w:rPr>
        <w:t>Cisco</w:t>
      </w:r>
      <w:proofErr w:type="spellEnd"/>
      <w:r w:rsidR="00BA5B90" w:rsidRPr="00BA5B90">
        <w:rPr>
          <w:rFonts w:ascii="Arial" w:eastAsia="Times New Roman" w:hAnsi="Arial" w:cs="Arial"/>
          <w:lang w:val="ru"/>
        </w:rPr>
        <w:t xml:space="preserve"> </w:t>
      </w:r>
      <w:proofErr w:type="spellStart"/>
      <w:r w:rsidR="00BA5B90" w:rsidRPr="00BA5B90">
        <w:rPr>
          <w:rFonts w:ascii="Arial" w:eastAsia="Times New Roman" w:hAnsi="Arial" w:cs="Arial"/>
          <w:lang w:val="ru"/>
        </w:rPr>
        <w:t>Gold</w:t>
      </w:r>
      <w:proofErr w:type="spellEnd"/>
      <w:r w:rsidR="00BA5B90" w:rsidRPr="00BA5B90">
        <w:rPr>
          <w:rFonts w:ascii="Arial" w:eastAsia="Times New Roman" w:hAnsi="Arial" w:cs="Arial"/>
          <w:lang w:val="ru"/>
        </w:rPr>
        <w:t xml:space="preserve"> </w:t>
      </w:r>
      <w:proofErr w:type="spellStart"/>
      <w:r w:rsidR="00BA5B90" w:rsidRPr="00BA5B90">
        <w:rPr>
          <w:rFonts w:ascii="Arial" w:eastAsia="Times New Roman" w:hAnsi="Arial" w:cs="Arial"/>
          <w:lang w:val="ru"/>
        </w:rPr>
        <w:t>Integrator</w:t>
      </w:r>
      <w:proofErr w:type="spellEnd"/>
      <w:r w:rsidR="00BA5B90" w:rsidRPr="00BA5B90">
        <w:rPr>
          <w:rFonts w:ascii="Arial" w:eastAsia="Times New Roman" w:hAnsi="Arial" w:cs="Arial"/>
          <w:lang w:val="ru"/>
        </w:rPr>
        <w:t xml:space="preserve"> и других</w:t>
      </w:r>
      <w:r w:rsidRPr="00BA5B90">
        <w:rPr>
          <w:rFonts w:ascii="Arial" w:eastAsia="Times New Roman" w:hAnsi="Arial" w:cs="Arial"/>
          <w:lang w:val="ru"/>
        </w:rPr>
        <w:t xml:space="preserve">. </w:t>
      </w:r>
      <w:r w:rsidR="00BA5B90" w:rsidRPr="00BA5B90">
        <w:rPr>
          <w:rFonts w:ascii="Arial" w:eastAsia="Times New Roman" w:hAnsi="Arial" w:cs="Arial"/>
          <w:lang w:val="ru"/>
        </w:rPr>
        <w:t xml:space="preserve">Такая комбинация партнерской экспертизы вместе с широким портфелем услуг выделяет SST на региональном рынке. Более 300 специалистов компании SST, прошедших </w:t>
      </w:r>
      <w:r w:rsidR="00BA5B90" w:rsidRPr="00BA5B90">
        <w:rPr>
          <w:rFonts w:ascii="Arial" w:eastAsia="Times New Roman" w:hAnsi="Arial" w:cs="Arial"/>
          <w:lang w:val="ru"/>
        </w:rPr>
        <w:lastRenderedPageBreak/>
        <w:t xml:space="preserve">обучение и сертификацию в области ИКТ, обслуживают крупные и средние предприятия в различных отраслях, включая гражданскую авиацию, государственное управление, нефтегазовую отрасль, банковский и финансовый сектор, гостиничный бизнес, здравоохранение, образование и розничную торговлю. </w:t>
      </w:r>
    </w:p>
    <w:p w:rsidR="00D9014E" w:rsidRPr="00BA5B90" w:rsidRDefault="00C26BB2" w:rsidP="00D9014E">
      <w:pPr>
        <w:pStyle w:val="a3"/>
        <w:numPr>
          <w:ilvl w:val="0"/>
          <w:numId w:val="23"/>
        </w:numPr>
        <w:spacing w:line="252" w:lineRule="auto"/>
        <w:jc w:val="both"/>
        <w:rPr>
          <w:rFonts w:ascii="Arial" w:eastAsia="Times New Roman" w:hAnsi="Arial" w:cs="Arial"/>
          <w:lang w:val="ru-RU"/>
        </w:rPr>
      </w:pPr>
      <w:proofErr w:type="spellStart"/>
      <w:r w:rsidRPr="00BA5B90">
        <w:rPr>
          <w:rFonts w:ascii="Arial" w:eastAsia="Times New Roman" w:hAnsi="Arial" w:cs="Arial"/>
          <w:b/>
          <w:bCs/>
          <w:lang w:val="ru"/>
        </w:rPr>
        <w:t>Makronet</w:t>
      </w:r>
      <w:proofErr w:type="spellEnd"/>
      <w:r w:rsidRPr="00BA5B90">
        <w:rPr>
          <w:rFonts w:ascii="Arial" w:eastAsia="Times New Roman" w:hAnsi="Arial" w:cs="Arial"/>
          <w:b/>
          <w:bCs/>
          <w:lang w:val="ru"/>
        </w:rPr>
        <w:t xml:space="preserve"> (сентябрь 2022):</w:t>
      </w:r>
      <w:r w:rsidRPr="00BA5B90">
        <w:rPr>
          <w:rFonts w:ascii="Arial" w:eastAsia="Times New Roman" w:hAnsi="Arial" w:cs="Arial"/>
          <w:lang w:val="ru"/>
        </w:rPr>
        <w:t xml:space="preserve"> Приобретение Noventiq ведущего турецкого </w:t>
      </w:r>
      <w:r w:rsidR="00BA5B90" w:rsidRPr="00BA5B90">
        <w:rPr>
          <w:rFonts w:ascii="Arial" w:eastAsia="Times New Roman" w:hAnsi="Arial" w:cs="Arial"/>
          <w:lang w:val="ru"/>
        </w:rPr>
        <w:t>поставщик</w:t>
      </w:r>
      <w:r w:rsidR="00BA5B90">
        <w:rPr>
          <w:rFonts w:ascii="Arial" w:eastAsia="Times New Roman" w:hAnsi="Arial" w:cs="Arial"/>
          <w:lang w:val="ru-RU"/>
        </w:rPr>
        <w:t>а</w:t>
      </w:r>
      <w:r w:rsidR="00BA5B90" w:rsidRPr="00BA5B90">
        <w:rPr>
          <w:rFonts w:ascii="Arial" w:eastAsia="Times New Roman" w:hAnsi="Arial" w:cs="Arial"/>
          <w:lang w:val="ru"/>
        </w:rPr>
        <w:t xml:space="preserve"> решений в сфере ИТ со специализацией на облачных технологиях Microsoft</w:t>
      </w:r>
      <w:r w:rsidR="00BA5B90">
        <w:rPr>
          <w:rFonts w:ascii="Arial" w:eastAsia="Times New Roman" w:hAnsi="Arial" w:cs="Arial"/>
          <w:lang w:val="ru"/>
        </w:rPr>
        <w:t xml:space="preserve"> </w:t>
      </w:r>
      <w:r w:rsidRPr="00BA5B90">
        <w:rPr>
          <w:rFonts w:ascii="Arial" w:eastAsia="Times New Roman" w:hAnsi="Arial" w:cs="Arial"/>
          <w:lang w:val="ru"/>
        </w:rPr>
        <w:t>значительно укрепляет бизнес Softline в Турции и регионе MEA. Эта сделка поддерживает два компонента трехмерной стратегии роста Noventiq: географическое расширение и расширение возможностей каналов продаж благодаря уникальной платформе Makronet MyAdmin, удостоенной награды от Microsoft на глобальном уровне. Это решение упрощает и оптимизирует управление активами CSP, дополняя собственную платформу Noventiqs ActivePlatform и способствуя дальнейшей цифровой трансформации экосистем клиентов. Помимо облачных решений Microsoft Makronet также предлагает услуги по управлению программными активами (SAM), а также по обеспечению соответствия требованиям GDPR и аутсорсинговые услуги. Клиентская база Makronet по облачным решениям насчитывает почти 1000 клиентов в Турции.</w:t>
      </w:r>
    </w:p>
    <w:bookmarkEnd w:id="6"/>
    <w:p w:rsidR="00D9014E" w:rsidRPr="00685672" w:rsidRDefault="00C26BB2" w:rsidP="00D9014E">
      <w:pPr>
        <w:jc w:val="both"/>
        <w:rPr>
          <w:rFonts w:ascii="Arial" w:hAnsi="Arial" w:cs="Arial"/>
          <w:lang w:val="ru-RU"/>
        </w:rPr>
      </w:pPr>
      <w:r w:rsidRPr="00D9014E">
        <w:rPr>
          <w:rFonts w:ascii="Arial" w:hAnsi="Arial" w:cs="Arial"/>
          <w:lang w:val="ru"/>
        </w:rPr>
        <w:t>В</w:t>
      </w:r>
      <w:r w:rsidR="00A25687">
        <w:rPr>
          <w:rFonts w:ascii="Arial" w:hAnsi="Arial" w:cs="Arial"/>
          <w:lang w:val="ru"/>
        </w:rPr>
        <w:t xml:space="preserve">о втором полугодии </w:t>
      </w:r>
      <w:r w:rsidRPr="00D9014E">
        <w:rPr>
          <w:rFonts w:ascii="Arial" w:hAnsi="Arial" w:cs="Arial"/>
          <w:lang w:val="ru"/>
        </w:rPr>
        <w:t xml:space="preserve">2022 финансового года компания Noventiq приобрела Saga Group в Сербии, а также подписала соглашение о приобретении Value Point Systems в Индии. </w:t>
      </w:r>
    </w:p>
    <w:p w:rsidR="00D9014E" w:rsidRPr="00685672" w:rsidRDefault="00C26BB2" w:rsidP="00D9014E">
      <w:pPr>
        <w:pStyle w:val="a3"/>
        <w:numPr>
          <w:ilvl w:val="0"/>
          <w:numId w:val="24"/>
        </w:numPr>
        <w:spacing w:line="252" w:lineRule="auto"/>
        <w:rPr>
          <w:rFonts w:ascii="Arial" w:eastAsia="Times New Roman" w:hAnsi="Arial" w:cs="Arial"/>
          <w:lang w:val="ru-RU"/>
        </w:rPr>
      </w:pPr>
      <w:bookmarkStart w:id="7" w:name="_Hlk120006609"/>
      <w:r w:rsidRPr="00D9014E">
        <w:rPr>
          <w:rFonts w:ascii="Arial" w:eastAsia="Times New Roman" w:hAnsi="Arial" w:cs="Arial"/>
          <w:b/>
          <w:bCs/>
          <w:lang w:val="ru"/>
        </w:rPr>
        <w:t>Value Point Systems (октябрь 2022 г.):</w:t>
      </w:r>
      <w:r w:rsidRPr="00D9014E">
        <w:rPr>
          <w:rFonts w:ascii="Arial" w:eastAsia="Times New Roman" w:hAnsi="Arial" w:cs="Arial"/>
          <w:lang w:val="ru"/>
        </w:rPr>
        <w:t xml:space="preserve"> Value Point Systems (VPS) — индийская компания, предоставляющая решения и услуги в области цифровой инфраструктуры и кибербезопасности. В компании работает более чем 1200 сотрудников, а количество клиентов в Индии превышает 2000. Это приобретение полностью соответствует стратегии и концепции Noventiqs в этом регионе: «Инвестирование в Индию для Индии». Как только сделка будет завершена, Noventiq усилит свой глобальный портфель решений благодаря компетенциям Центра управления безопасностью VPS (SOC), который является одним из ведущих SOC в Индии. Тем самым будут расширены возможности интеграции в области кибербезопасности и компетенции в сфере консалтинга по этому направлению.</w:t>
      </w:r>
    </w:p>
    <w:p w:rsidR="003808EF" w:rsidRPr="00685672" w:rsidRDefault="00C26BB2" w:rsidP="00D9014E">
      <w:pPr>
        <w:pStyle w:val="a3"/>
        <w:numPr>
          <w:ilvl w:val="0"/>
          <w:numId w:val="24"/>
        </w:numPr>
        <w:spacing w:line="252" w:lineRule="auto"/>
        <w:rPr>
          <w:rFonts w:ascii="Arial" w:eastAsia="Times New Roman" w:hAnsi="Arial" w:cs="Arial"/>
          <w:lang w:val="ru-RU"/>
        </w:rPr>
      </w:pPr>
      <w:proofErr w:type="spellStart"/>
      <w:r w:rsidRPr="00D9014E">
        <w:rPr>
          <w:rFonts w:ascii="Arial" w:eastAsia="Times New Roman" w:hAnsi="Arial" w:cs="Arial"/>
          <w:b/>
          <w:bCs/>
          <w:lang w:val="ru"/>
        </w:rPr>
        <w:t>Saga</w:t>
      </w:r>
      <w:proofErr w:type="spellEnd"/>
      <w:r w:rsidRPr="00D9014E">
        <w:rPr>
          <w:rFonts w:ascii="Arial" w:eastAsia="Times New Roman" w:hAnsi="Arial" w:cs="Arial"/>
          <w:b/>
          <w:bCs/>
          <w:lang w:val="ru"/>
        </w:rPr>
        <w:t xml:space="preserve"> Group (ноябрь 2022):</w:t>
      </w:r>
      <w:r w:rsidRPr="00D9014E">
        <w:rPr>
          <w:rFonts w:ascii="Arial" w:eastAsia="Times New Roman" w:hAnsi="Arial" w:cs="Arial"/>
          <w:lang w:val="ru"/>
        </w:rPr>
        <w:t xml:space="preserve"> Компания Noventiq подписала соглашение о приобретении контрольного пакета акций Saga Group, ведущего сербского разработчика программного обеспечения и цифровых решений. В результате этой сделки команду Noventiq пополнят 400 специалистов. Компания Saga Group, которая осуществляет свою деятельность более чем в 25 странах, внесет свой вклад в рост Noventiq в Центральной и Восточной Европе. Эта сделка также поможет Noventiq усилить свой глобальный портфель решений, поскольку Saga Group является обладателем высоких партнерских статусов </w:t>
      </w:r>
      <w:proofErr w:type="spellStart"/>
      <w:r w:rsidRPr="00D9014E">
        <w:rPr>
          <w:rFonts w:ascii="Arial" w:eastAsia="Times New Roman" w:hAnsi="Arial" w:cs="Arial"/>
          <w:lang w:val="ru"/>
        </w:rPr>
        <w:t>Oracle</w:t>
      </w:r>
      <w:proofErr w:type="spellEnd"/>
      <w:r w:rsidRPr="00D9014E">
        <w:rPr>
          <w:rFonts w:ascii="Arial" w:eastAsia="Times New Roman" w:hAnsi="Arial" w:cs="Arial"/>
          <w:lang w:val="ru"/>
        </w:rPr>
        <w:t xml:space="preserve"> и </w:t>
      </w:r>
      <w:proofErr w:type="spellStart"/>
      <w:r w:rsidRPr="00D9014E">
        <w:rPr>
          <w:rFonts w:ascii="Arial" w:eastAsia="Times New Roman" w:hAnsi="Arial" w:cs="Arial"/>
          <w:lang w:val="ru"/>
        </w:rPr>
        <w:t>Cisco</w:t>
      </w:r>
      <w:proofErr w:type="spellEnd"/>
      <w:r w:rsidRPr="00D9014E">
        <w:rPr>
          <w:rFonts w:ascii="Arial" w:eastAsia="Times New Roman" w:hAnsi="Arial" w:cs="Arial"/>
          <w:lang w:val="ru"/>
        </w:rPr>
        <w:t xml:space="preserve">, а также Microsoft, DELL, Hewlett Packard Enterprise, Juniper, VMware и других вендоров. Saga Group сформировала впечатляющий портфель цифровых продуктов, в том числе собственную многоканальную платформу для цифрового банкинга Fintense, разработанную дочерней компанией Saga NF Innova. Другие высокотехнологичные решения </w:t>
      </w:r>
      <w:proofErr w:type="spellStart"/>
      <w:r w:rsidRPr="00D9014E">
        <w:rPr>
          <w:rFonts w:ascii="Arial" w:eastAsia="Times New Roman" w:hAnsi="Arial" w:cs="Arial"/>
          <w:lang w:val="ru"/>
        </w:rPr>
        <w:t>Saga</w:t>
      </w:r>
      <w:proofErr w:type="spellEnd"/>
      <w:r w:rsidRPr="00D9014E">
        <w:rPr>
          <w:rFonts w:ascii="Arial" w:eastAsia="Times New Roman" w:hAnsi="Arial" w:cs="Arial"/>
          <w:lang w:val="ru"/>
        </w:rPr>
        <w:t xml:space="preserve"> — это </w:t>
      </w:r>
      <w:proofErr w:type="spellStart"/>
      <w:r w:rsidRPr="00D9014E">
        <w:rPr>
          <w:rFonts w:ascii="Arial" w:eastAsia="Times New Roman" w:hAnsi="Arial" w:cs="Arial"/>
          <w:i/>
          <w:iCs/>
          <w:lang w:val="ru"/>
        </w:rPr>
        <w:t>Weaver</w:t>
      </w:r>
      <w:proofErr w:type="spellEnd"/>
      <w:r w:rsidRPr="00D9014E">
        <w:rPr>
          <w:rFonts w:ascii="Arial" w:eastAsia="Times New Roman" w:hAnsi="Arial" w:cs="Arial"/>
          <w:lang w:val="ru"/>
        </w:rPr>
        <w:t xml:space="preserve">, продвинутый чат-бот с искусственным интеллектом, и </w:t>
      </w:r>
      <w:r w:rsidRPr="00D9014E">
        <w:rPr>
          <w:rFonts w:ascii="Arial" w:eastAsia="Times New Roman" w:hAnsi="Arial" w:cs="Arial"/>
          <w:i/>
          <w:iCs/>
          <w:lang w:val="ru"/>
        </w:rPr>
        <w:t>Selecta</w:t>
      </w:r>
      <w:r w:rsidRPr="00D9014E">
        <w:rPr>
          <w:rFonts w:ascii="Arial" w:eastAsia="Times New Roman" w:hAnsi="Arial" w:cs="Arial"/>
          <w:lang w:val="ru"/>
        </w:rPr>
        <w:t xml:space="preserve">, CRM-платформа следующего поколения с поддержкой искусственного интеллекта. Эти две платформы созданы Intellya, еще одной дочерней компанией </w:t>
      </w:r>
      <w:proofErr w:type="spellStart"/>
      <w:r w:rsidRPr="00D9014E">
        <w:rPr>
          <w:rFonts w:ascii="Arial" w:eastAsia="Times New Roman" w:hAnsi="Arial" w:cs="Arial"/>
          <w:lang w:val="ru"/>
        </w:rPr>
        <w:t>Saga</w:t>
      </w:r>
      <w:proofErr w:type="spellEnd"/>
      <w:r w:rsidRPr="00D9014E">
        <w:rPr>
          <w:rFonts w:ascii="Arial" w:eastAsia="Times New Roman" w:hAnsi="Arial" w:cs="Arial"/>
          <w:lang w:val="ru"/>
        </w:rPr>
        <w:t xml:space="preserve"> Group.</w:t>
      </w:r>
    </w:p>
    <w:bookmarkEnd w:id="4"/>
    <w:bookmarkEnd w:id="7"/>
    <w:p w:rsidR="003808EF" w:rsidRPr="00685672" w:rsidRDefault="00C26BB2" w:rsidP="003808E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"/>
        </w:rPr>
        <w:t>Управленческая команда Noventiq довольна успехами в сфере слияний и поглощений, а также прогрессом в заключении новых сделок и их потенциальным эффектом.</w:t>
      </w:r>
    </w:p>
    <w:p w:rsidR="00973E12" w:rsidRPr="00685672" w:rsidRDefault="00973E12" w:rsidP="003808EF">
      <w:pPr>
        <w:jc w:val="both"/>
        <w:rPr>
          <w:rFonts w:ascii="Arial" w:hAnsi="Arial" w:cs="Arial"/>
          <w:lang w:val="ru-RU"/>
        </w:rPr>
      </w:pPr>
    </w:p>
    <w:p w:rsidR="00A97CC5" w:rsidRPr="00685672" w:rsidRDefault="00C26BB2" w:rsidP="00A97CC5">
      <w:pPr>
        <w:spacing w:line="24" w:lineRule="atLeast"/>
        <w:jc w:val="both"/>
        <w:rPr>
          <w:rFonts w:ascii="Arial" w:hAnsi="Arial" w:cs="Arial"/>
          <w:b/>
          <w:bCs/>
          <w:iCs/>
          <w:lang w:val="ru-RU"/>
        </w:rPr>
      </w:pPr>
      <w:bookmarkStart w:id="8" w:name="_Hlk119513757"/>
      <w:bookmarkEnd w:id="5"/>
      <w:r w:rsidRPr="00AE07B3">
        <w:rPr>
          <w:rFonts w:ascii="Arial" w:hAnsi="Arial" w:cs="Arial"/>
          <w:b/>
          <w:bCs/>
          <w:iCs/>
          <w:lang w:val="ru"/>
        </w:rPr>
        <w:t>Microsoft</w:t>
      </w:r>
    </w:p>
    <w:p w:rsidR="00C2305A" w:rsidRPr="00C26BB2" w:rsidRDefault="00C26BB2" w:rsidP="00C2305A">
      <w:pPr>
        <w:jc w:val="both"/>
        <w:rPr>
          <w:rFonts w:ascii="Arial" w:hAnsi="Arial" w:cs="Arial"/>
          <w:lang w:val="ru-RU"/>
        </w:rPr>
      </w:pPr>
      <w:r w:rsidRPr="00C2305A">
        <w:rPr>
          <w:rFonts w:ascii="Arial" w:hAnsi="Arial" w:cs="Arial"/>
          <w:lang w:val="ru"/>
        </w:rPr>
        <w:t xml:space="preserve">Noventiq является одним из 10 обладателей статуса Microsoft globally managed partner, и продолжает развивать сотрудничество. Noventiq видит значительный потенциал в партнерстве с Microsoft и выходе на многие другие рынки по всему миру. Noventiq тесно сотрудничает с Microsoft в различных </w:t>
      </w:r>
      <w:r w:rsidRPr="00C2305A">
        <w:rPr>
          <w:rFonts w:ascii="Arial" w:hAnsi="Arial" w:cs="Arial"/>
          <w:lang w:val="ru"/>
        </w:rPr>
        <w:lastRenderedPageBreak/>
        <w:t xml:space="preserve">сегментах: от малого и среднего бизнеса до крупных коммерческих и государственных организаций. История сотрудничества Noventiq (а ранее Softline), с Microsoft насчитывает более 25 лет. Компания продолжает расширять портфель </w:t>
      </w:r>
      <w:r w:rsidR="00740494">
        <w:rPr>
          <w:rFonts w:ascii="Arial" w:hAnsi="Arial" w:cs="Arial"/>
          <w:lang w:val="ru"/>
        </w:rPr>
        <w:t>собственных</w:t>
      </w:r>
      <w:r w:rsidRPr="00C2305A">
        <w:rPr>
          <w:rFonts w:ascii="Arial" w:hAnsi="Arial" w:cs="Arial"/>
          <w:lang w:val="ru"/>
        </w:rPr>
        <w:t xml:space="preserve"> услуг с помощью решений Microsoft. В настоящее время Noventiq является партнером по лицензированию и поставке облачных решений в более чем 35 странах. Компания является членом престижной ассоциации Microsoft Intelligent Security Association, поставщиком услуг экспертной поддержки Azure (Microsoft Azure Expert Managed Services Provider), — обладателем 12 расширенных специализаций Microsoft и 5 из 6 квалификаций </w:t>
      </w:r>
      <w:r w:rsidR="00740494" w:rsidRPr="00C2305A">
        <w:rPr>
          <w:rFonts w:ascii="Arial" w:hAnsi="Arial" w:cs="Arial"/>
          <w:lang w:val="ru"/>
        </w:rPr>
        <w:t>партнеров по</w:t>
      </w:r>
      <w:r w:rsidRPr="00C2305A">
        <w:rPr>
          <w:rFonts w:ascii="Arial" w:hAnsi="Arial" w:cs="Arial"/>
          <w:lang w:val="ru"/>
        </w:rPr>
        <w:t xml:space="preserve"> решениям Microsoft. В</w:t>
      </w:r>
      <w:r w:rsidRPr="00C26BB2">
        <w:rPr>
          <w:rFonts w:ascii="Arial" w:hAnsi="Arial" w:cs="Arial"/>
          <w:lang w:val="ru-RU"/>
        </w:rPr>
        <w:t xml:space="preserve"> 2022 </w:t>
      </w:r>
      <w:r w:rsidRPr="00C2305A">
        <w:rPr>
          <w:rFonts w:ascii="Arial" w:hAnsi="Arial" w:cs="Arial"/>
          <w:lang w:val="ru"/>
        </w:rPr>
        <w:t>году</w:t>
      </w:r>
      <w:r w:rsidRPr="00C26BB2">
        <w:rPr>
          <w:rFonts w:ascii="Arial" w:hAnsi="Arial" w:cs="Arial"/>
          <w:lang w:val="ru-RU"/>
        </w:rPr>
        <w:t xml:space="preserve"> </w:t>
      </w:r>
      <w:r w:rsidRPr="00685672">
        <w:rPr>
          <w:rFonts w:ascii="Arial" w:hAnsi="Arial" w:cs="Arial"/>
          <w:lang w:val="en-US"/>
        </w:rPr>
        <w:t>Noventiq</w:t>
      </w:r>
      <w:r w:rsidRPr="00C26BB2">
        <w:rPr>
          <w:rFonts w:ascii="Arial" w:hAnsi="Arial" w:cs="Arial"/>
          <w:lang w:val="ru-RU"/>
        </w:rPr>
        <w:t xml:space="preserve"> </w:t>
      </w:r>
      <w:r w:rsidRPr="00C2305A">
        <w:rPr>
          <w:rFonts w:ascii="Arial" w:hAnsi="Arial" w:cs="Arial"/>
          <w:lang w:val="ru"/>
        </w:rPr>
        <w:t>получила</w:t>
      </w:r>
      <w:r w:rsidRPr="00C26BB2">
        <w:rPr>
          <w:rFonts w:ascii="Arial" w:hAnsi="Arial" w:cs="Arial"/>
          <w:lang w:val="ru-RU"/>
        </w:rPr>
        <w:t xml:space="preserve"> </w:t>
      </w:r>
      <w:r w:rsidRPr="00C2305A">
        <w:rPr>
          <w:rFonts w:ascii="Arial" w:hAnsi="Arial" w:cs="Arial"/>
          <w:lang w:val="ru"/>
        </w:rPr>
        <w:t>ряд</w:t>
      </w:r>
      <w:r w:rsidRPr="00C26BB2">
        <w:rPr>
          <w:rFonts w:ascii="Arial" w:hAnsi="Arial" w:cs="Arial"/>
          <w:lang w:val="ru-RU"/>
        </w:rPr>
        <w:t xml:space="preserve"> </w:t>
      </w:r>
      <w:r w:rsidRPr="00C2305A">
        <w:rPr>
          <w:rFonts w:ascii="Arial" w:hAnsi="Arial" w:cs="Arial"/>
          <w:lang w:val="ru"/>
        </w:rPr>
        <w:t>наград</w:t>
      </w:r>
      <w:r w:rsidRPr="00C26BB2">
        <w:rPr>
          <w:rFonts w:ascii="Arial" w:hAnsi="Arial" w:cs="Arial"/>
          <w:lang w:val="ru-RU"/>
        </w:rPr>
        <w:t xml:space="preserve"> </w:t>
      </w:r>
      <w:r w:rsidRPr="00685672">
        <w:rPr>
          <w:rFonts w:ascii="Arial" w:hAnsi="Arial" w:cs="Arial"/>
          <w:lang w:val="en-US"/>
        </w:rPr>
        <w:t>Partner</w:t>
      </w:r>
      <w:r w:rsidRPr="00C26BB2">
        <w:rPr>
          <w:rFonts w:ascii="Arial" w:hAnsi="Arial" w:cs="Arial"/>
          <w:lang w:val="ru-RU"/>
        </w:rPr>
        <w:t xml:space="preserve"> </w:t>
      </w:r>
      <w:r w:rsidRPr="00685672">
        <w:rPr>
          <w:rFonts w:ascii="Arial" w:hAnsi="Arial" w:cs="Arial"/>
          <w:lang w:val="en-US"/>
        </w:rPr>
        <w:t>of</w:t>
      </w:r>
      <w:r w:rsidRPr="00C26BB2">
        <w:rPr>
          <w:rFonts w:ascii="Arial" w:hAnsi="Arial" w:cs="Arial"/>
          <w:lang w:val="ru-RU"/>
        </w:rPr>
        <w:t xml:space="preserve"> </w:t>
      </w:r>
      <w:r w:rsidRPr="00685672">
        <w:rPr>
          <w:rFonts w:ascii="Arial" w:hAnsi="Arial" w:cs="Arial"/>
          <w:lang w:val="en-US"/>
        </w:rPr>
        <w:t>the</w:t>
      </w:r>
      <w:r w:rsidRPr="00C26BB2">
        <w:rPr>
          <w:rFonts w:ascii="Arial" w:hAnsi="Arial" w:cs="Arial"/>
          <w:lang w:val="ru-RU"/>
        </w:rPr>
        <w:t xml:space="preserve"> </w:t>
      </w:r>
      <w:r w:rsidRPr="00685672">
        <w:rPr>
          <w:rFonts w:ascii="Arial" w:hAnsi="Arial" w:cs="Arial"/>
          <w:lang w:val="en-US"/>
        </w:rPr>
        <w:t>Year</w:t>
      </w:r>
      <w:r w:rsidRPr="00C26BB2">
        <w:rPr>
          <w:rFonts w:ascii="Arial" w:hAnsi="Arial" w:cs="Arial"/>
          <w:lang w:val="ru-RU"/>
        </w:rPr>
        <w:t>.</w:t>
      </w:r>
    </w:p>
    <w:bookmarkEnd w:id="8"/>
    <w:p w:rsidR="00A97CC5" w:rsidRPr="00C26BB2" w:rsidRDefault="00A97CC5" w:rsidP="00A97CC5">
      <w:pPr>
        <w:spacing w:line="24" w:lineRule="atLeast"/>
        <w:jc w:val="both"/>
        <w:rPr>
          <w:rFonts w:ascii="Arial" w:hAnsi="Arial" w:cs="Arial"/>
          <w:b/>
          <w:lang w:val="ru-RU"/>
        </w:rPr>
      </w:pPr>
    </w:p>
    <w:p w:rsidR="00A97CC5" w:rsidRPr="00685672" w:rsidRDefault="00C26BB2" w:rsidP="00A97CC5">
      <w:pPr>
        <w:spacing w:line="24" w:lineRule="atLeast"/>
        <w:jc w:val="both"/>
        <w:rPr>
          <w:rFonts w:ascii="Arial" w:hAnsi="Arial" w:cs="Arial"/>
          <w:b/>
          <w:lang w:val="ru-RU"/>
        </w:rPr>
      </w:pPr>
      <w:bookmarkStart w:id="9" w:name="_Hlk119514217"/>
      <w:r w:rsidRPr="00AE07B3">
        <w:rPr>
          <w:rFonts w:ascii="Arial" w:hAnsi="Arial" w:cs="Arial"/>
          <w:b/>
          <w:lang w:val="ru"/>
        </w:rPr>
        <w:t xml:space="preserve">Корпоративная и социальная </w:t>
      </w:r>
      <w:r w:rsidR="00740494" w:rsidRPr="00AE07B3">
        <w:rPr>
          <w:rFonts w:ascii="Arial" w:hAnsi="Arial" w:cs="Arial"/>
          <w:b/>
          <w:lang w:val="ru"/>
        </w:rPr>
        <w:t>ответственность</w:t>
      </w:r>
    </w:p>
    <w:p w:rsidR="00A97CC5" w:rsidRPr="00685672" w:rsidRDefault="00C26BB2" w:rsidP="00A97CC5">
      <w:pPr>
        <w:spacing w:line="24" w:lineRule="atLeast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lang w:val="ru"/>
        </w:rPr>
        <w:t xml:space="preserve">Noventiq продолжает придерживаться принципов корпоративной и социальной ответственности (ESG) и внедрять их во все свои процессы как стратегический приоритет Noventiq. Компания ставит своей целью создание среды, в которой люди могут процветать. Внимание Noventiq к своим сотрудникам подтверждается сертификатом </w:t>
      </w:r>
      <w:r w:rsidRPr="00A40225">
        <w:rPr>
          <w:rFonts w:ascii="Arial" w:hAnsi="Arial" w:cs="Arial"/>
          <w:bCs/>
          <w:i/>
          <w:lang w:val="ru"/>
        </w:rPr>
        <w:t xml:space="preserve">Great Place To Work </w:t>
      </w:r>
      <w:r>
        <w:rPr>
          <w:rFonts w:ascii="Arial" w:hAnsi="Arial" w:cs="Arial"/>
          <w:lang w:val="ru"/>
        </w:rPr>
        <w:t xml:space="preserve">(Отличный работодатель) во многих наших регионах. Мы всегда придерживались принципа уважения к основным правам человека и человеческому достоинству на работе и вне её. Он отражен в нашей политике многообразия и инклюзивности, которая невероятно важна для руководства компании. </w:t>
      </w:r>
    </w:p>
    <w:p w:rsidR="00A97CC5" w:rsidRPr="00685672" w:rsidRDefault="00C26BB2" w:rsidP="00A97CC5">
      <w:pPr>
        <w:spacing w:line="24" w:lineRule="atLeast"/>
        <w:jc w:val="both"/>
        <w:rPr>
          <w:rFonts w:ascii="Arial" w:hAnsi="Arial" w:cs="Arial"/>
          <w:bCs/>
          <w:lang w:val="ru-RU"/>
        </w:rPr>
      </w:pPr>
      <w:r w:rsidRPr="00A40225">
        <w:rPr>
          <w:rFonts w:ascii="Arial" w:hAnsi="Arial" w:cs="Arial"/>
          <w:bCs/>
          <w:lang w:val="ru"/>
        </w:rPr>
        <w:t>В рамках стратегии ESG целью Noventiq является обеспечение экологически безопасного и устойчивого развития компании, и мы будем продолжать искать способы уменьшить воздействие нашего бизнеса на климат. Компания Noventiq также разработала и внедрила стандарты деловой этики и обеспечения нормативно-правового соответствия на всех рынках присутствия. Компания продолжит поощрять многообразие в своей разветвленной структуре управления. Структура Совета директоров и корпоративного управления соответствует передовым практикам</w:t>
      </w:r>
    </w:p>
    <w:p w:rsidR="006450B4" w:rsidRPr="00685672" w:rsidRDefault="00C26BB2" w:rsidP="00A97CC5">
      <w:pPr>
        <w:spacing w:line="24" w:lineRule="atLeast"/>
        <w:jc w:val="both"/>
        <w:rPr>
          <w:lang w:val="ru-RU"/>
        </w:rPr>
      </w:pPr>
      <w:r>
        <w:rPr>
          <w:rFonts w:ascii="Arial" w:hAnsi="Arial" w:cs="Arial"/>
          <w:bCs/>
          <w:lang w:val="ru"/>
        </w:rPr>
        <w:t xml:space="preserve">Кодекс компании в сфере ESG доступен по следующему адресу: </w:t>
      </w:r>
      <w:hyperlink r:id="rId13" w:history="1">
        <w:r w:rsidRPr="006450B4">
          <w:rPr>
            <w:rStyle w:val="a7"/>
            <w:rFonts w:ascii="Arial" w:hAnsi="Arial" w:cs="Arial"/>
            <w:lang w:val="ru"/>
          </w:rPr>
          <w:t>https://noventiq.com/about/esg</w:t>
        </w:r>
      </w:hyperlink>
    </w:p>
    <w:bookmarkEnd w:id="9"/>
    <w:p w:rsidR="00A97CC5" w:rsidRPr="00685672" w:rsidRDefault="00A97CC5" w:rsidP="003808EF">
      <w:pPr>
        <w:spacing w:line="24" w:lineRule="atLeast"/>
        <w:jc w:val="both"/>
        <w:rPr>
          <w:rFonts w:ascii="Arial" w:hAnsi="Arial" w:cs="Arial"/>
          <w:b/>
          <w:bCs/>
          <w:iCs/>
          <w:lang w:val="ru-RU"/>
        </w:rPr>
      </w:pPr>
    </w:p>
    <w:p w:rsidR="003808EF" w:rsidRPr="00685672" w:rsidRDefault="00C26BB2" w:rsidP="003808EF">
      <w:pPr>
        <w:spacing w:line="24" w:lineRule="atLeast"/>
        <w:jc w:val="both"/>
        <w:rPr>
          <w:rFonts w:ascii="Arial" w:hAnsi="Arial" w:cs="Arial"/>
          <w:b/>
          <w:bCs/>
          <w:iCs/>
          <w:lang w:val="ru-RU"/>
        </w:rPr>
      </w:pPr>
      <w:r w:rsidRPr="00D8335C">
        <w:rPr>
          <w:rFonts w:ascii="Arial" w:hAnsi="Arial" w:cs="Arial"/>
          <w:b/>
          <w:bCs/>
          <w:iCs/>
          <w:lang w:val="ru"/>
        </w:rPr>
        <w:t>НАГРАДЫ</w:t>
      </w:r>
    </w:p>
    <w:p w:rsidR="003808EF" w:rsidRPr="00685672" w:rsidRDefault="00DB0D05" w:rsidP="003808E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"/>
        </w:rPr>
        <w:t xml:space="preserve">В 2022 году </w:t>
      </w:r>
      <w:proofErr w:type="spellStart"/>
      <w:r w:rsidR="00C26BB2">
        <w:rPr>
          <w:rFonts w:ascii="Arial" w:hAnsi="Arial" w:cs="Arial"/>
          <w:lang w:val="ru"/>
        </w:rPr>
        <w:t>Gartner</w:t>
      </w:r>
      <w:proofErr w:type="spellEnd"/>
      <w:r w:rsidR="00C26BB2">
        <w:rPr>
          <w:rFonts w:ascii="Arial" w:hAnsi="Arial" w:cs="Arial"/>
          <w:lang w:val="ru"/>
        </w:rPr>
        <w:t xml:space="preserve"> </w:t>
      </w:r>
      <w:r>
        <w:rPr>
          <w:rFonts w:ascii="Arial" w:hAnsi="Arial" w:cs="Arial"/>
        </w:rPr>
        <w:t>Magic</w:t>
      </w:r>
      <w:r w:rsidRPr="00DB0D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Quadrant</w:t>
      </w:r>
      <w:r w:rsidRPr="00DB0D05">
        <w:rPr>
          <w:rFonts w:ascii="Arial" w:hAnsi="Arial" w:cs="Arial"/>
          <w:lang w:val="ru-RU"/>
        </w:rPr>
        <w:t xml:space="preserve"> </w:t>
      </w:r>
      <w:r w:rsidR="00D61F01">
        <w:rPr>
          <w:rFonts w:ascii="Arial" w:hAnsi="Arial" w:cs="Arial"/>
          <w:lang w:val="ru"/>
        </w:rPr>
        <w:t>уд</w:t>
      </w:r>
      <w:r>
        <w:rPr>
          <w:rFonts w:ascii="Arial" w:hAnsi="Arial" w:cs="Arial"/>
          <w:lang w:val="ru"/>
        </w:rPr>
        <w:t>о</w:t>
      </w:r>
      <w:r w:rsidR="00D61F01">
        <w:rPr>
          <w:rFonts w:ascii="Arial" w:hAnsi="Arial" w:cs="Arial"/>
          <w:lang w:val="ru"/>
        </w:rPr>
        <w:t>стоил</w:t>
      </w:r>
      <w:r w:rsidR="00C26BB2">
        <w:rPr>
          <w:rFonts w:ascii="Arial" w:hAnsi="Arial" w:cs="Arial"/>
          <w:lang w:val="ru"/>
        </w:rPr>
        <w:t xml:space="preserve"> </w:t>
      </w:r>
      <w:proofErr w:type="spellStart"/>
      <w:r w:rsidR="00D61F01">
        <w:rPr>
          <w:rFonts w:ascii="Arial" w:hAnsi="Arial" w:cs="Arial"/>
          <w:lang w:val="ru"/>
        </w:rPr>
        <w:t>Noventiq</w:t>
      </w:r>
      <w:proofErr w:type="spellEnd"/>
      <w:r w:rsidR="00D61F01">
        <w:rPr>
          <w:rFonts w:ascii="Arial" w:hAnsi="Arial" w:cs="Arial"/>
          <w:lang w:val="ru"/>
        </w:rPr>
        <w:t xml:space="preserve"> </w:t>
      </w:r>
      <w:r w:rsidR="00C26BB2">
        <w:rPr>
          <w:rFonts w:ascii="Arial" w:hAnsi="Arial" w:cs="Arial"/>
          <w:lang w:val="ru"/>
        </w:rPr>
        <w:t>статуса «визионера»</w:t>
      </w:r>
      <w:r w:rsidR="00DE4125">
        <w:rPr>
          <w:rFonts w:ascii="Arial" w:hAnsi="Arial" w:cs="Arial"/>
          <w:lang w:val="ru"/>
        </w:rPr>
        <w:t xml:space="preserve"> </w:t>
      </w:r>
      <w:r w:rsidR="00DE4125" w:rsidRPr="00DE4125">
        <w:rPr>
          <w:rFonts w:ascii="Arial" w:hAnsi="Arial" w:cs="Arial"/>
          <w:lang w:val="ru"/>
        </w:rPr>
        <w:t>в сфере услуг удаленного управления программными активами (SAM)</w:t>
      </w:r>
      <w:r w:rsidR="00C26BB2">
        <w:rPr>
          <w:rFonts w:ascii="Arial" w:hAnsi="Arial" w:cs="Arial"/>
          <w:lang w:val="ru"/>
        </w:rPr>
        <w:t xml:space="preserve">. </w:t>
      </w:r>
    </w:p>
    <w:p w:rsidR="003808EF" w:rsidRPr="00685672" w:rsidRDefault="00C26BB2" w:rsidP="003808E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"/>
        </w:rPr>
        <w:t xml:space="preserve">Noventiq продолжает развивать и укреплять отношения с вендорами: в этом квартале корпорация Microsoft наградила Noventiq Vietnam и </w:t>
      </w:r>
      <w:proofErr w:type="spellStart"/>
      <w:r>
        <w:rPr>
          <w:rFonts w:ascii="Arial" w:hAnsi="Arial" w:cs="Arial"/>
          <w:lang w:val="ru"/>
        </w:rPr>
        <w:t>Noventiq</w:t>
      </w:r>
      <w:proofErr w:type="spellEnd"/>
      <w:r>
        <w:rPr>
          <w:rFonts w:ascii="Arial" w:hAnsi="Arial" w:cs="Arial"/>
          <w:lang w:val="ru"/>
        </w:rPr>
        <w:t xml:space="preserve"> </w:t>
      </w:r>
      <w:proofErr w:type="spellStart"/>
      <w:r>
        <w:rPr>
          <w:rFonts w:ascii="Arial" w:hAnsi="Arial" w:cs="Arial"/>
          <w:lang w:val="ru"/>
        </w:rPr>
        <w:t>Cambodia</w:t>
      </w:r>
      <w:proofErr w:type="spellEnd"/>
      <w:r>
        <w:rPr>
          <w:rFonts w:ascii="Arial" w:hAnsi="Arial" w:cs="Arial"/>
          <w:lang w:val="ru"/>
        </w:rPr>
        <w:t xml:space="preserve"> премией </w:t>
      </w:r>
      <w:proofErr w:type="spellStart"/>
      <w:r>
        <w:rPr>
          <w:rFonts w:ascii="Arial" w:hAnsi="Arial" w:cs="Arial"/>
          <w:lang w:val="ru"/>
        </w:rPr>
        <w:t>Partner</w:t>
      </w:r>
      <w:proofErr w:type="spellEnd"/>
      <w:r>
        <w:rPr>
          <w:rFonts w:ascii="Arial" w:hAnsi="Arial" w:cs="Arial"/>
          <w:lang w:val="ru"/>
        </w:rPr>
        <w:t xml:space="preserve"> of </w:t>
      </w:r>
      <w:proofErr w:type="spellStart"/>
      <w:r>
        <w:rPr>
          <w:rFonts w:ascii="Arial" w:hAnsi="Arial" w:cs="Arial"/>
          <w:lang w:val="ru"/>
        </w:rPr>
        <w:t>the</w:t>
      </w:r>
      <w:proofErr w:type="spellEnd"/>
      <w:r>
        <w:rPr>
          <w:rFonts w:ascii="Arial" w:hAnsi="Arial" w:cs="Arial"/>
          <w:lang w:val="ru"/>
        </w:rPr>
        <w:t xml:space="preserve"> </w:t>
      </w:r>
      <w:proofErr w:type="spellStart"/>
      <w:r>
        <w:rPr>
          <w:rFonts w:ascii="Arial" w:hAnsi="Arial" w:cs="Arial"/>
          <w:lang w:val="ru"/>
        </w:rPr>
        <w:t>Year</w:t>
      </w:r>
      <w:proofErr w:type="spellEnd"/>
      <w:r w:rsidR="00DB0D05">
        <w:rPr>
          <w:rFonts w:ascii="Arial" w:hAnsi="Arial" w:cs="Arial"/>
          <w:lang w:val="ru"/>
        </w:rPr>
        <w:t xml:space="preserve"> (Партнер года)</w:t>
      </w:r>
      <w:r>
        <w:rPr>
          <w:rFonts w:ascii="Arial" w:hAnsi="Arial" w:cs="Arial"/>
          <w:lang w:val="ru"/>
        </w:rPr>
        <w:t xml:space="preserve"> за выдающиеся достижения в области внедрения инноваций и решений Microsoft. </w:t>
      </w:r>
    </w:p>
    <w:p w:rsidR="003808EF" w:rsidRPr="00685672" w:rsidRDefault="00C26BB2" w:rsidP="003808EF">
      <w:pPr>
        <w:jc w:val="both"/>
        <w:rPr>
          <w:rFonts w:ascii="Arial" w:hAnsi="Arial" w:cs="Arial"/>
          <w:lang w:val="ru-RU"/>
        </w:rPr>
      </w:pPr>
      <w:proofErr w:type="spellStart"/>
      <w:r w:rsidRPr="00D8335C">
        <w:rPr>
          <w:rFonts w:ascii="Arial" w:hAnsi="Arial" w:cs="Arial"/>
          <w:lang w:val="ru"/>
        </w:rPr>
        <w:t>Embee</w:t>
      </w:r>
      <w:proofErr w:type="spellEnd"/>
      <w:r w:rsidRPr="00D8335C">
        <w:rPr>
          <w:rFonts w:ascii="Arial" w:hAnsi="Arial" w:cs="Arial"/>
          <w:lang w:val="ru"/>
        </w:rPr>
        <w:t xml:space="preserve">, компания, приобретенная </w:t>
      </w:r>
      <w:proofErr w:type="spellStart"/>
      <w:r w:rsidRPr="00D8335C">
        <w:rPr>
          <w:rFonts w:ascii="Arial" w:hAnsi="Arial" w:cs="Arial"/>
          <w:lang w:val="ru"/>
        </w:rPr>
        <w:t>Softline</w:t>
      </w:r>
      <w:proofErr w:type="spellEnd"/>
      <w:r w:rsidRPr="00D8335C">
        <w:rPr>
          <w:rFonts w:ascii="Arial" w:hAnsi="Arial" w:cs="Arial"/>
          <w:lang w:val="ru"/>
        </w:rPr>
        <w:t xml:space="preserve"> в январе 2020 года, также была отмечена премией Microsoft India Area Award 2022 – MWP Partner of the Year (самый ценный партнер 2022 года в Индии). Это звание подчеркивает лидерство Noventiq на рынке, особенно с учетом того, что Softline India была признана Microsoft ведущим поставщиком облачных решений (CSP) в Индии в начале этого года.</w:t>
      </w:r>
      <w:bookmarkStart w:id="10" w:name="_Hlk95569063"/>
    </w:p>
    <w:p w:rsidR="00842029" w:rsidRPr="00685672" w:rsidRDefault="00842029" w:rsidP="003808EF">
      <w:pPr>
        <w:spacing w:line="24" w:lineRule="atLeast"/>
        <w:jc w:val="both"/>
        <w:rPr>
          <w:rFonts w:ascii="Arial" w:hAnsi="Arial" w:cs="Arial"/>
          <w:b/>
          <w:lang w:val="ru-RU"/>
        </w:rPr>
      </w:pPr>
      <w:bookmarkStart w:id="11" w:name="_Hlk111197339"/>
    </w:p>
    <w:p w:rsidR="003808EF" w:rsidRPr="00685672" w:rsidRDefault="00C26BB2" w:rsidP="003808EF">
      <w:pPr>
        <w:spacing w:line="24" w:lineRule="atLeast"/>
        <w:jc w:val="both"/>
        <w:rPr>
          <w:rFonts w:ascii="Arial" w:hAnsi="Arial" w:cs="Arial"/>
          <w:b/>
          <w:lang w:val="ru-RU"/>
        </w:rPr>
      </w:pPr>
      <w:r w:rsidRPr="00D8335C">
        <w:rPr>
          <w:rFonts w:ascii="Arial" w:hAnsi="Arial" w:cs="Arial"/>
          <w:b/>
          <w:lang w:val="ru"/>
        </w:rPr>
        <w:t>Перспективы бизнеса</w:t>
      </w:r>
    </w:p>
    <w:p w:rsidR="00A25687" w:rsidRDefault="00A25687" w:rsidP="00A25687">
      <w:pPr>
        <w:jc w:val="both"/>
        <w:rPr>
          <w:rFonts w:ascii="Arial" w:hAnsi="Arial" w:cs="Arial"/>
          <w:lang w:val="ru"/>
        </w:rPr>
      </w:pPr>
      <w:r>
        <w:rPr>
          <w:rFonts w:ascii="Arial" w:hAnsi="Arial" w:cs="Arial"/>
          <w:lang w:val="ru"/>
        </w:rPr>
        <w:t>П</w:t>
      </w:r>
      <w:r w:rsidRPr="00A25687">
        <w:rPr>
          <w:rFonts w:ascii="Arial" w:hAnsi="Arial" w:cs="Arial"/>
          <w:lang w:val="ru"/>
        </w:rPr>
        <w:t xml:space="preserve">осле продажи бизнеса в РФ </w:t>
      </w:r>
      <w:r>
        <w:rPr>
          <w:rFonts w:ascii="Arial" w:hAnsi="Arial" w:cs="Arial"/>
          <w:lang w:val="ru"/>
        </w:rPr>
        <w:t>компания</w:t>
      </w:r>
      <w:r w:rsidRPr="00A25687">
        <w:rPr>
          <w:rFonts w:ascii="Arial" w:hAnsi="Arial" w:cs="Arial"/>
          <w:lang w:val="ru"/>
        </w:rPr>
        <w:t xml:space="preserve"> готов</w:t>
      </w:r>
      <w:r>
        <w:rPr>
          <w:rFonts w:ascii="Arial" w:hAnsi="Arial" w:cs="Arial"/>
          <w:lang w:val="ru"/>
        </w:rPr>
        <w:t>а</w:t>
      </w:r>
      <w:r w:rsidRPr="00A25687">
        <w:rPr>
          <w:rFonts w:ascii="Arial" w:hAnsi="Arial" w:cs="Arial"/>
          <w:lang w:val="ru"/>
        </w:rPr>
        <w:t xml:space="preserve"> озвучить ожидания на 2022 финансовый год целиком. </w:t>
      </w:r>
    </w:p>
    <w:p w:rsidR="00A25687" w:rsidRPr="00A25687" w:rsidRDefault="00A25687" w:rsidP="00A25687">
      <w:pPr>
        <w:jc w:val="both"/>
        <w:rPr>
          <w:rFonts w:ascii="Arial" w:hAnsi="Arial" w:cs="Arial"/>
          <w:lang w:val="ru"/>
        </w:rPr>
      </w:pPr>
      <w:proofErr w:type="spellStart"/>
      <w:r>
        <w:rPr>
          <w:rFonts w:ascii="Arial" w:hAnsi="Arial" w:cs="Arial"/>
          <w:lang w:val="en-US"/>
        </w:rPr>
        <w:t>Noventiq</w:t>
      </w:r>
      <w:proofErr w:type="spellEnd"/>
      <w:r w:rsidRPr="00A25687">
        <w:rPr>
          <w:rFonts w:ascii="Arial" w:hAnsi="Arial" w:cs="Arial"/>
          <w:lang w:val="ru"/>
        </w:rPr>
        <w:t xml:space="preserve"> </w:t>
      </w:r>
      <w:proofErr w:type="spellStart"/>
      <w:r w:rsidRPr="00A25687">
        <w:rPr>
          <w:rFonts w:ascii="Arial" w:hAnsi="Arial" w:cs="Arial"/>
          <w:lang w:val="ru"/>
        </w:rPr>
        <w:t>ожидае</w:t>
      </w:r>
      <w:proofErr w:type="spellEnd"/>
      <w:r>
        <w:rPr>
          <w:rFonts w:ascii="Arial" w:hAnsi="Arial" w:cs="Arial"/>
          <w:lang w:val="ru-RU"/>
        </w:rPr>
        <w:t>т</w:t>
      </w:r>
      <w:r w:rsidRPr="00A25687">
        <w:rPr>
          <w:rFonts w:ascii="Arial" w:hAnsi="Arial" w:cs="Arial"/>
          <w:lang w:val="ru"/>
        </w:rPr>
        <w:t xml:space="preserve"> роста оборота на 28% год к году в валюте отчетности</w:t>
      </w:r>
      <w:r>
        <w:rPr>
          <w:rFonts w:ascii="Arial" w:hAnsi="Arial" w:cs="Arial"/>
          <w:lang w:val="ru"/>
        </w:rPr>
        <w:t>, что добавит около 350 млн долл. к обороту предыдущего го</w:t>
      </w:r>
      <w:r w:rsidR="00DB0D05">
        <w:rPr>
          <w:rFonts w:ascii="Arial" w:hAnsi="Arial" w:cs="Arial"/>
          <w:lang w:val="ru"/>
        </w:rPr>
        <w:t>д</w:t>
      </w:r>
      <w:r>
        <w:rPr>
          <w:rFonts w:ascii="Arial" w:hAnsi="Arial" w:cs="Arial"/>
          <w:lang w:val="ru"/>
        </w:rPr>
        <w:t xml:space="preserve">а. </w:t>
      </w:r>
      <w:r w:rsidR="00DB0D05">
        <w:rPr>
          <w:rFonts w:ascii="Arial" w:hAnsi="Arial" w:cs="Arial"/>
          <w:lang w:val="ru"/>
        </w:rPr>
        <w:t xml:space="preserve">Компания </w:t>
      </w:r>
      <w:r w:rsidRPr="00A25687">
        <w:rPr>
          <w:rFonts w:ascii="Arial" w:hAnsi="Arial" w:cs="Arial"/>
          <w:lang w:val="ru"/>
        </w:rPr>
        <w:t>считае</w:t>
      </w:r>
      <w:r w:rsidR="00DB0D05">
        <w:rPr>
          <w:rFonts w:ascii="Arial" w:hAnsi="Arial" w:cs="Arial"/>
          <w:lang w:val="ru"/>
        </w:rPr>
        <w:t>т</w:t>
      </w:r>
      <w:r w:rsidRPr="00A25687">
        <w:rPr>
          <w:rFonts w:ascii="Arial" w:hAnsi="Arial" w:cs="Arial"/>
          <w:lang w:val="ru"/>
        </w:rPr>
        <w:t xml:space="preserve"> внешнюю ситуацию крайне благоприятной для устойчивого </w:t>
      </w:r>
      <w:r w:rsidR="00DB0D05">
        <w:rPr>
          <w:rFonts w:ascii="Arial" w:hAnsi="Arial" w:cs="Arial"/>
          <w:lang w:val="ru"/>
        </w:rPr>
        <w:t>роста</w:t>
      </w:r>
      <w:r w:rsidRPr="00A25687">
        <w:rPr>
          <w:rFonts w:ascii="Arial" w:hAnsi="Arial" w:cs="Arial"/>
          <w:lang w:val="ru"/>
        </w:rPr>
        <w:t xml:space="preserve">, но некоторая неопределённость, вызванная </w:t>
      </w:r>
      <w:proofErr w:type="gramStart"/>
      <w:r w:rsidRPr="00A25687">
        <w:rPr>
          <w:rFonts w:ascii="Arial" w:hAnsi="Arial" w:cs="Arial"/>
          <w:lang w:val="ru"/>
        </w:rPr>
        <w:t>геополитическими факторами</w:t>
      </w:r>
      <w:proofErr w:type="gramEnd"/>
      <w:r w:rsidRPr="00A25687">
        <w:rPr>
          <w:rFonts w:ascii="Arial" w:hAnsi="Arial" w:cs="Arial"/>
          <w:lang w:val="ru"/>
        </w:rPr>
        <w:t xml:space="preserve"> продолжает сохраняться. В настоящий момент, </w:t>
      </w:r>
      <w:r w:rsidR="00DB0D05">
        <w:rPr>
          <w:rFonts w:ascii="Arial" w:hAnsi="Arial" w:cs="Arial"/>
          <w:lang w:val="ru"/>
        </w:rPr>
        <w:t>компания</w:t>
      </w:r>
      <w:r w:rsidRPr="00A25687">
        <w:rPr>
          <w:rFonts w:ascii="Arial" w:hAnsi="Arial" w:cs="Arial"/>
          <w:lang w:val="ru"/>
        </w:rPr>
        <w:t xml:space="preserve"> даже види</w:t>
      </w:r>
      <w:r w:rsidR="00DB0D05">
        <w:rPr>
          <w:rFonts w:ascii="Arial" w:hAnsi="Arial" w:cs="Arial"/>
          <w:lang w:val="ru"/>
        </w:rPr>
        <w:t>т</w:t>
      </w:r>
      <w:r w:rsidRPr="00A25687">
        <w:rPr>
          <w:rFonts w:ascii="Arial" w:hAnsi="Arial" w:cs="Arial"/>
          <w:lang w:val="ru"/>
        </w:rPr>
        <w:t xml:space="preserve"> некоторую возможность перевыполнить прогноз. </w:t>
      </w:r>
    </w:p>
    <w:p w:rsidR="00A25687" w:rsidRPr="00A25687" w:rsidRDefault="00A25687" w:rsidP="00A25687">
      <w:pPr>
        <w:jc w:val="both"/>
        <w:rPr>
          <w:rFonts w:ascii="Arial" w:hAnsi="Arial" w:cs="Arial"/>
          <w:lang w:val="ru"/>
        </w:rPr>
      </w:pPr>
      <w:r w:rsidRPr="00A25687">
        <w:rPr>
          <w:rFonts w:ascii="Arial" w:hAnsi="Arial" w:cs="Arial"/>
          <w:lang w:val="ru"/>
        </w:rPr>
        <w:lastRenderedPageBreak/>
        <w:t xml:space="preserve">Маржа по валовой прибыли </w:t>
      </w:r>
      <w:r>
        <w:rPr>
          <w:rFonts w:ascii="Arial" w:hAnsi="Arial" w:cs="Arial"/>
          <w:lang w:val="ru"/>
        </w:rPr>
        <w:t xml:space="preserve">в 2022 году </w:t>
      </w:r>
      <w:r w:rsidRPr="00A25687">
        <w:rPr>
          <w:rFonts w:ascii="Arial" w:hAnsi="Arial" w:cs="Arial"/>
          <w:lang w:val="ru"/>
        </w:rPr>
        <w:t xml:space="preserve">ожидается в рамках 13-14%, но </w:t>
      </w:r>
      <w:r>
        <w:rPr>
          <w:rFonts w:ascii="Arial" w:hAnsi="Arial" w:cs="Arial"/>
          <w:lang w:val="ru"/>
        </w:rPr>
        <w:t>компания</w:t>
      </w:r>
      <w:r w:rsidRPr="00A25687">
        <w:rPr>
          <w:rFonts w:ascii="Arial" w:hAnsi="Arial" w:cs="Arial"/>
          <w:lang w:val="ru"/>
        </w:rPr>
        <w:t xml:space="preserve"> склонн</w:t>
      </w:r>
      <w:r>
        <w:rPr>
          <w:rFonts w:ascii="Arial" w:hAnsi="Arial" w:cs="Arial"/>
          <w:lang w:val="ru"/>
        </w:rPr>
        <w:t>а</w:t>
      </w:r>
      <w:r w:rsidRPr="00A25687">
        <w:rPr>
          <w:rFonts w:ascii="Arial" w:hAnsi="Arial" w:cs="Arial"/>
          <w:lang w:val="ru"/>
        </w:rPr>
        <w:t xml:space="preserve"> видеть ее ближе к верхней границе этого коридора. </w:t>
      </w:r>
    </w:p>
    <w:p w:rsidR="00A25687" w:rsidRDefault="00A25687" w:rsidP="00A25687">
      <w:pPr>
        <w:jc w:val="both"/>
        <w:rPr>
          <w:rFonts w:ascii="Arial" w:hAnsi="Arial" w:cs="Arial"/>
          <w:lang w:val="ru"/>
        </w:rPr>
      </w:pPr>
      <w:r w:rsidRPr="00A25687">
        <w:rPr>
          <w:rFonts w:ascii="Arial" w:hAnsi="Arial" w:cs="Arial"/>
          <w:lang w:val="ru"/>
        </w:rPr>
        <w:t xml:space="preserve">Отношение валовой прибыли к EBITDA прогнозируется на 2-х </w:t>
      </w:r>
      <w:proofErr w:type="spellStart"/>
      <w:r w:rsidRPr="00A25687">
        <w:rPr>
          <w:rFonts w:ascii="Arial" w:hAnsi="Arial" w:cs="Arial"/>
          <w:lang w:val="ru"/>
        </w:rPr>
        <w:t>значном</w:t>
      </w:r>
      <w:proofErr w:type="spellEnd"/>
      <w:r w:rsidRPr="00A25687">
        <w:rPr>
          <w:rFonts w:ascii="Arial" w:hAnsi="Arial" w:cs="Arial"/>
          <w:lang w:val="ru"/>
        </w:rPr>
        <w:t xml:space="preserve"> уровне. </w:t>
      </w:r>
      <w:r>
        <w:rPr>
          <w:rFonts w:ascii="Arial" w:hAnsi="Arial" w:cs="Arial"/>
          <w:lang w:val="ru"/>
        </w:rPr>
        <w:t>Компания</w:t>
      </w:r>
      <w:r w:rsidRPr="00A25687">
        <w:rPr>
          <w:rFonts w:ascii="Arial" w:hAnsi="Arial" w:cs="Arial"/>
          <w:lang w:val="ru"/>
        </w:rPr>
        <w:t xml:space="preserve"> продолжае</w:t>
      </w:r>
      <w:r>
        <w:rPr>
          <w:rFonts w:ascii="Arial" w:hAnsi="Arial" w:cs="Arial"/>
          <w:lang w:val="ru"/>
        </w:rPr>
        <w:t>т</w:t>
      </w:r>
      <w:r w:rsidRPr="00A25687">
        <w:rPr>
          <w:rFonts w:ascii="Arial" w:hAnsi="Arial" w:cs="Arial"/>
          <w:lang w:val="ru"/>
        </w:rPr>
        <w:t xml:space="preserve"> инвестировать в новые приобретения и делать органические инвестиции, что окажет краткосрочное давление на рентабельность по EBITDA</w:t>
      </w:r>
      <w:r>
        <w:rPr>
          <w:rFonts w:ascii="Arial" w:hAnsi="Arial" w:cs="Arial"/>
          <w:lang w:val="ru"/>
        </w:rPr>
        <w:t>.</w:t>
      </w:r>
    </w:p>
    <w:p w:rsidR="003808EF" w:rsidRDefault="00A25687" w:rsidP="00A25687">
      <w:pPr>
        <w:jc w:val="both"/>
        <w:rPr>
          <w:rFonts w:ascii="Arial" w:hAnsi="Arial" w:cs="Arial"/>
          <w:lang w:val="ru"/>
        </w:rPr>
      </w:pPr>
      <w:r w:rsidRPr="00A25687">
        <w:rPr>
          <w:rFonts w:ascii="Arial" w:hAnsi="Arial" w:cs="Arial"/>
          <w:lang w:val="ru"/>
        </w:rPr>
        <w:t>Компания сфокусирована на результатах 3-его квартала и видит, что рыночные условия благоприятствуют их достижению.</w:t>
      </w:r>
    </w:p>
    <w:p w:rsidR="00147AAF" w:rsidRPr="00147AAF" w:rsidRDefault="00147AAF" w:rsidP="00A25687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"/>
        </w:rPr>
        <w:t xml:space="preserve">В 2021 году </w:t>
      </w:r>
      <w:r>
        <w:rPr>
          <w:rFonts w:ascii="Arial" w:hAnsi="Arial" w:cs="Arial"/>
          <w:lang w:val="ru-RU"/>
        </w:rPr>
        <w:t xml:space="preserve">оборот </w:t>
      </w:r>
      <w:proofErr w:type="spellStart"/>
      <w:r>
        <w:rPr>
          <w:rFonts w:ascii="Arial" w:hAnsi="Arial" w:cs="Arial"/>
        </w:rPr>
        <w:t>Noventiq</w:t>
      </w:r>
      <w:proofErr w:type="spellEnd"/>
      <w:r>
        <w:rPr>
          <w:rFonts w:ascii="Arial" w:hAnsi="Arial" w:cs="Arial"/>
          <w:lang w:val="ru-RU"/>
        </w:rPr>
        <w:t xml:space="preserve"> составил </w:t>
      </w:r>
      <w:r w:rsidRPr="00147AAF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 xml:space="preserve"> </w:t>
      </w:r>
      <w:r w:rsidRPr="00147AAF">
        <w:rPr>
          <w:rFonts w:ascii="Arial" w:hAnsi="Arial" w:cs="Arial"/>
          <w:lang w:val="ru-RU"/>
        </w:rPr>
        <w:t>155</w:t>
      </w:r>
      <w:r>
        <w:rPr>
          <w:rFonts w:ascii="Arial" w:hAnsi="Arial" w:cs="Arial"/>
          <w:lang w:val="ru-RU"/>
        </w:rPr>
        <w:t xml:space="preserve"> </w:t>
      </w:r>
      <w:r w:rsidRPr="00147AAF">
        <w:rPr>
          <w:rFonts w:ascii="Arial" w:hAnsi="Arial" w:cs="Arial"/>
          <w:lang w:val="ru-RU"/>
        </w:rPr>
        <w:t>753</w:t>
      </w:r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долл</w:t>
      </w:r>
      <w:proofErr w:type="spellEnd"/>
      <w:r>
        <w:rPr>
          <w:rFonts w:ascii="Arial" w:hAnsi="Arial" w:cs="Arial"/>
          <w:lang w:val="ru-RU"/>
        </w:rPr>
        <w:t xml:space="preserve"> США, а валовая прибыль </w:t>
      </w:r>
      <w:r w:rsidRPr="00147AAF">
        <w:rPr>
          <w:rFonts w:ascii="Arial" w:hAnsi="Arial" w:cs="Arial"/>
          <w:lang w:val="ru-RU"/>
        </w:rPr>
        <w:t>146</w:t>
      </w:r>
      <w:r>
        <w:rPr>
          <w:rFonts w:ascii="Arial" w:hAnsi="Arial" w:cs="Arial"/>
          <w:lang w:val="ru-RU"/>
        </w:rPr>
        <w:t xml:space="preserve"> </w:t>
      </w:r>
      <w:r w:rsidRPr="00147AAF">
        <w:rPr>
          <w:rFonts w:ascii="Arial" w:hAnsi="Arial" w:cs="Arial"/>
          <w:lang w:val="ru-RU"/>
        </w:rPr>
        <w:t>461</w:t>
      </w:r>
      <w:r w:rsidRPr="00147AAF"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долл</w:t>
      </w:r>
      <w:proofErr w:type="spellEnd"/>
      <w:r>
        <w:rPr>
          <w:rFonts w:ascii="Arial" w:hAnsi="Arial" w:cs="Arial"/>
          <w:lang w:val="ru-RU"/>
        </w:rPr>
        <w:t xml:space="preserve"> США</w:t>
      </w:r>
      <w:r>
        <w:rPr>
          <w:rFonts w:ascii="Arial" w:hAnsi="Arial" w:cs="Arial"/>
          <w:lang w:val="ru-RU"/>
        </w:rPr>
        <w:t>.</w:t>
      </w:r>
      <w:bookmarkStart w:id="12" w:name="_GoBack"/>
      <w:bookmarkEnd w:id="12"/>
    </w:p>
    <w:bookmarkEnd w:id="10"/>
    <w:bookmarkEnd w:id="11"/>
    <w:p w:rsidR="003808EF" w:rsidRPr="00685672" w:rsidRDefault="00C26BB2" w:rsidP="003808EF">
      <w:pPr>
        <w:spacing w:line="24" w:lineRule="atLeast"/>
        <w:jc w:val="both"/>
        <w:rPr>
          <w:rFonts w:ascii="Arial" w:hAnsi="Arial" w:cs="Arial"/>
          <w:b/>
          <w:lang w:val="ru-RU"/>
        </w:rPr>
      </w:pPr>
      <w:r w:rsidRPr="00683DA4">
        <w:rPr>
          <w:rFonts w:ascii="Arial" w:hAnsi="Arial" w:cs="Arial"/>
          <w:b/>
          <w:lang w:val="ru"/>
        </w:rPr>
        <w:t>Другие важные события</w:t>
      </w:r>
    </w:p>
    <w:p w:rsidR="00683DA4" w:rsidRPr="00685672" w:rsidRDefault="00C26BB2" w:rsidP="003808EF">
      <w:pPr>
        <w:jc w:val="both"/>
        <w:rPr>
          <w:rFonts w:ascii="Arial" w:hAnsi="Arial" w:cs="Arial"/>
          <w:lang w:val="ru-RU"/>
        </w:rPr>
      </w:pPr>
      <w:r w:rsidRPr="00683DA4">
        <w:rPr>
          <w:rFonts w:ascii="Arial" w:hAnsi="Arial" w:cs="Arial"/>
          <w:lang w:val="ru"/>
        </w:rPr>
        <w:t xml:space="preserve">С 20 </w:t>
      </w:r>
      <w:r w:rsidRPr="001F4188">
        <w:rPr>
          <w:rFonts w:ascii="Arial" w:hAnsi="Arial" w:cs="Arial"/>
          <w:lang w:val="ru"/>
        </w:rPr>
        <w:t>октября</w:t>
      </w:r>
      <w:r w:rsidRPr="00683DA4">
        <w:rPr>
          <w:rFonts w:ascii="Arial" w:hAnsi="Arial" w:cs="Arial"/>
          <w:lang w:val="ru"/>
        </w:rPr>
        <w:t xml:space="preserve"> 2022 года компания работает под брендом </w:t>
      </w:r>
      <w:proofErr w:type="spellStart"/>
      <w:r w:rsidRPr="00683DA4">
        <w:rPr>
          <w:rFonts w:ascii="Arial" w:hAnsi="Arial" w:cs="Arial"/>
          <w:lang w:val="ru"/>
        </w:rPr>
        <w:t>Noventiq</w:t>
      </w:r>
      <w:proofErr w:type="spellEnd"/>
      <w:r w:rsidRPr="00683DA4">
        <w:rPr>
          <w:rFonts w:ascii="Arial" w:hAnsi="Arial" w:cs="Arial"/>
          <w:lang w:val="ru"/>
        </w:rPr>
        <w:t xml:space="preserve">: </w:t>
      </w:r>
      <w:hyperlink r:id="rId14" w:history="1">
        <w:r w:rsidR="001F4188">
          <w:rPr>
            <w:rStyle w:val="a7"/>
            <w:rFonts w:ascii="Arial" w:hAnsi="Arial" w:cs="Arial"/>
            <w:lang w:val="ru-RU"/>
          </w:rPr>
          <w:t xml:space="preserve">новость о смене бренда </w:t>
        </w:r>
        <w:r w:rsidR="001F4188">
          <w:rPr>
            <w:rStyle w:val="a7"/>
            <w:rFonts w:ascii="Arial" w:hAnsi="Arial" w:cs="Arial"/>
            <w:lang w:val="en-US"/>
          </w:rPr>
          <w:t>N</w:t>
        </w:r>
        <w:proofErr w:type="spellStart"/>
        <w:r w:rsidRPr="00683DA4">
          <w:rPr>
            <w:rStyle w:val="a7"/>
            <w:rFonts w:ascii="Arial" w:hAnsi="Arial" w:cs="Arial"/>
            <w:lang w:val="ru"/>
          </w:rPr>
          <w:t>oventiq</w:t>
        </w:r>
        <w:proofErr w:type="spellEnd"/>
      </w:hyperlink>
      <w:r w:rsidRPr="00683DA4">
        <w:rPr>
          <w:rFonts w:ascii="Arial" w:hAnsi="Arial" w:cs="Arial"/>
          <w:lang w:val="ru"/>
        </w:rPr>
        <w:t>.</w:t>
      </w:r>
    </w:p>
    <w:p w:rsidR="00683DA4" w:rsidRPr="00685672" w:rsidRDefault="00683DA4" w:rsidP="003808EF">
      <w:pPr>
        <w:jc w:val="both"/>
        <w:rPr>
          <w:rFonts w:ascii="Arial" w:hAnsi="Arial" w:cs="Arial"/>
          <w:lang w:val="ru-RU"/>
        </w:rPr>
      </w:pPr>
    </w:p>
    <w:p w:rsidR="003808EF" w:rsidRPr="00685672" w:rsidRDefault="003808EF" w:rsidP="003808EF">
      <w:pPr>
        <w:jc w:val="both"/>
        <w:rPr>
          <w:rFonts w:ascii="Arial" w:hAnsi="Arial" w:cs="Arial"/>
          <w:lang w:val="ru-RU"/>
        </w:rPr>
      </w:pPr>
    </w:p>
    <w:p w:rsidR="003808EF" w:rsidRPr="00685672" w:rsidRDefault="003808EF" w:rsidP="003808EF">
      <w:pPr>
        <w:rPr>
          <w:rFonts w:ascii="Arial" w:hAnsi="Arial" w:cs="Arial"/>
          <w:lang w:val="ru-RU"/>
        </w:rPr>
      </w:pPr>
    </w:p>
    <w:p w:rsidR="00340363" w:rsidRPr="00D8335C" w:rsidRDefault="00C26BB2" w:rsidP="00340363">
      <w:pPr>
        <w:spacing w:line="24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ru"/>
        </w:rPr>
        <w:t>Финансовые показатели</w:t>
      </w:r>
    </w:p>
    <w:p w:rsidR="00AE36D0" w:rsidRPr="00AE36D0" w:rsidRDefault="00AE36D0" w:rsidP="00AE36D0">
      <w:pPr>
        <w:spacing w:after="0" w:line="24" w:lineRule="atLeast"/>
        <w:rPr>
          <w:rFonts w:ascii="Arial" w:eastAsia="Times New Roman" w:hAnsi="Arial" w:cs="Arial"/>
          <w:bCs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744"/>
        <w:gridCol w:w="1861"/>
        <w:gridCol w:w="1861"/>
      </w:tblGrid>
      <w:tr w:rsidR="001F37ED" w:rsidTr="00B643EE">
        <w:trPr>
          <w:trHeight w:val="266"/>
          <w:tblHeader/>
        </w:trPr>
        <w:tc>
          <w:tcPr>
            <w:tcW w:w="3222" w:type="pct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</w:tcPr>
          <w:p w:rsidR="00B643EE" w:rsidRPr="00B643EE" w:rsidRDefault="00C2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B643E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ru"/>
              </w:rPr>
              <w:t>тыс. долл.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</w:tcPr>
          <w:p w:rsidR="00B643EE" w:rsidRP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B643E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ru"/>
              </w:rPr>
              <w:t>2</w:t>
            </w:r>
            <w:r w:rsidR="00966CA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ru"/>
              </w:rPr>
              <w:t>К</w:t>
            </w:r>
            <w:r w:rsidRPr="00B643E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ru"/>
              </w:rPr>
              <w:t>’22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</w:tcPr>
          <w:p w:rsidR="00B643EE" w:rsidRP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B643E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ru"/>
              </w:rPr>
              <w:t>2</w:t>
            </w:r>
            <w:r w:rsidR="00966CA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ru"/>
              </w:rPr>
              <w:t>К</w:t>
            </w:r>
            <w:r w:rsidRPr="00B643E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ru"/>
              </w:rPr>
              <w:t>’21</w:t>
            </w:r>
          </w:p>
        </w:tc>
      </w:tr>
      <w:tr w:rsidR="001F37ED" w:rsidTr="00B643EE">
        <w:trPr>
          <w:trHeight w:val="266"/>
        </w:trPr>
        <w:tc>
          <w:tcPr>
            <w:tcW w:w="3222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43EE" w:rsidRDefault="0030611E" w:rsidP="00B6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"/>
              </w:rPr>
              <w:t>Оборот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"/>
              </w:rPr>
              <w:t xml:space="preserve">         320 361 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"/>
              </w:rPr>
              <w:t xml:space="preserve">         237 940 </w:t>
            </w:r>
          </w:p>
        </w:tc>
      </w:tr>
      <w:tr w:rsidR="001F37ED" w:rsidTr="00B643EE">
        <w:trPr>
          <w:trHeight w:val="266"/>
        </w:trPr>
        <w:tc>
          <w:tcPr>
            <w:tcW w:w="3222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 </w:t>
            </w:r>
            <w:r w:rsidR="0030611E"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>Выручка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"/>
              </w:rPr>
              <w:t xml:space="preserve">         305 878 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"/>
              </w:rPr>
              <w:t xml:space="preserve">         217 819 </w:t>
            </w:r>
          </w:p>
        </w:tc>
      </w:tr>
      <w:tr w:rsidR="001F37ED" w:rsidTr="00B643EE">
        <w:trPr>
          <w:trHeight w:val="266"/>
        </w:trPr>
        <w:tc>
          <w:tcPr>
            <w:tcW w:w="3222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 Себестоимость продаж 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"/>
              </w:rPr>
              <w:t xml:space="preserve">       (255 900)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"/>
              </w:rPr>
              <w:t xml:space="preserve">       (187 707)</w:t>
            </w:r>
          </w:p>
        </w:tc>
      </w:tr>
      <w:tr w:rsidR="001F37ED" w:rsidTr="00B643EE">
        <w:trPr>
          <w:trHeight w:val="266"/>
        </w:trPr>
        <w:tc>
          <w:tcPr>
            <w:tcW w:w="322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"/>
              </w:rPr>
              <w:t xml:space="preserve"> Валовая прибыль </w:t>
            </w:r>
          </w:p>
        </w:tc>
        <w:tc>
          <w:tcPr>
            <w:tcW w:w="88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"/>
              </w:rPr>
              <w:t xml:space="preserve">           49 978 </w:t>
            </w:r>
          </w:p>
        </w:tc>
        <w:tc>
          <w:tcPr>
            <w:tcW w:w="88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"/>
              </w:rPr>
              <w:t xml:space="preserve">           30 113 </w:t>
            </w:r>
          </w:p>
        </w:tc>
      </w:tr>
      <w:tr w:rsidR="001F37ED" w:rsidTr="00B643EE">
        <w:trPr>
          <w:trHeight w:val="266"/>
        </w:trPr>
        <w:tc>
          <w:tcPr>
            <w:tcW w:w="3222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66CC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color w:val="0066CC"/>
                <w:sz w:val="20"/>
                <w:szCs w:val="20"/>
                <w:lang w:val="ru"/>
              </w:rPr>
              <w:t xml:space="preserve"> % валовой прибыли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66CC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val="ru"/>
              </w:rPr>
              <w:t>16%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66CC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val="ru"/>
              </w:rPr>
              <w:t>13%</w:t>
            </w:r>
          </w:p>
        </w:tc>
      </w:tr>
      <w:tr w:rsidR="001F37ED" w:rsidTr="00B643EE">
        <w:trPr>
          <w:trHeight w:val="266"/>
        </w:trPr>
        <w:tc>
          <w:tcPr>
            <w:tcW w:w="3222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"/>
              </w:rPr>
              <w:t>Расходы на реализацию и сбыт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"/>
              </w:rPr>
              <w:t xml:space="preserve">         (37 486)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"/>
              </w:rPr>
              <w:t xml:space="preserve">         (21 881)</w:t>
            </w:r>
          </w:p>
        </w:tc>
      </w:tr>
      <w:tr w:rsidR="001F37ED" w:rsidTr="00B643EE">
        <w:trPr>
          <w:trHeight w:val="266"/>
        </w:trPr>
        <w:tc>
          <w:tcPr>
            <w:tcW w:w="3222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99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333399"/>
                <w:sz w:val="20"/>
                <w:szCs w:val="20"/>
                <w:lang w:val="ru"/>
              </w:rPr>
              <w:t>ФОТ и налоги на ФОТ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         (35 350)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         (21 480)</w:t>
            </w:r>
          </w:p>
        </w:tc>
      </w:tr>
      <w:tr w:rsidR="001F37ED" w:rsidTr="00B643EE">
        <w:trPr>
          <w:trHeight w:val="266"/>
        </w:trPr>
        <w:tc>
          <w:tcPr>
            <w:tcW w:w="3222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99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333399"/>
                <w:sz w:val="20"/>
                <w:szCs w:val="20"/>
                <w:lang w:val="ru"/>
              </w:rPr>
              <w:t>Реклама и маркетинг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              (330)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              (169)</w:t>
            </w:r>
          </w:p>
        </w:tc>
      </w:tr>
      <w:tr w:rsidR="001F37ED" w:rsidTr="00B643EE">
        <w:trPr>
          <w:trHeight w:val="266"/>
        </w:trPr>
        <w:tc>
          <w:tcPr>
            <w:tcW w:w="3222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99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333399"/>
                <w:sz w:val="20"/>
                <w:szCs w:val="20"/>
                <w:lang w:val="ru"/>
              </w:rPr>
              <w:t>Резерв по невозвратным долгам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           (1 189)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                260 </w:t>
            </w:r>
          </w:p>
        </w:tc>
      </w:tr>
      <w:tr w:rsidR="001F37ED" w:rsidTr="00B643EE">
        <w:trPr>
          <w:trHeight w:val="266"/>
        </w:trPr>
        <w:tc>
          <w:tcPr>
            <w:tcW w:w="3222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99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333399"/>
                <w:sz w:val="20"/>
                <w:szCs w:val="20"/>
                <w:lang w:val="ru"/>
              </w:rPr>
              <w:t>Другие услуги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              (617)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              (491)</w:t>
            </w:r>
          </w:p>
        </w:tc>
      </w:tr>
      <w:tr w:rsidR="001F37ED" w:rsidTr="00B643EE">
        <w:trPr>
          <w:trHeight w:val="266"/>
        </w:trPr>
        <w:tc>
          <w:tcPr>
            <w:tcW w:w="3222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"/>
              </w:rPr>
              <w:t xml:space="preserve"> Административно-хозяйственные расходы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"/>
              </w:rPr>
              <w:t xml:space="preserve">         (12 015)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"/>
              </w:rPr>
              <w:t xml:space="preserve">           (6 538)</w:t>
            </w:r>
          </w:p>
        </w:tc>
      </w:tr>
      <w:tr w:rsidR="001F37ED" w:rsidTr="00B643EE">
        <w:trPr>
          <w:trHeight w:val="266"/>
        </w:trPr>
        <w:tc>
          <w:tcPr>
            <w:tcW w:w="3222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99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333399"/>
                <w:sz w:val="20"/>
                <w:szCs w:val="20"/>
                <w:lang w:val="ru"/>
              </w:rPr>
              <w:t>Деловые поездки и развлечения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              (739)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              (341)</w:t>
            </w:r>
          </w:p>
        </w:tc>
      </w:tr>
      <w:tr w:rsidR="001F37ED" w:rsidTr="00B643EE">
        <w:trPr>
          <w:trHeight w:val="266"/>
        </w:trPr>
        <w:tc>
          <w:tcPr>
            <w:tcW w:w="3222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99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333399"/>
                <w:sz w:val="20"/>
                <w:szCs w:val="20"/>
                <w:lang w:val="ru"/>
              </w:rPr>
              <w:t>Арендная плата и коммунальные услуги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              (716)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           (1 501)</w:t>
            </w:r>
          </w:p>
        </w:tc>
      </w:tr>
      <w:tr w:rsidR="001F37ED" w:rsidTr="00B643EE">
        <w:trPr>
          <w:trHeight w:val="266"/>
        </w:trPr>
        <w:tc>
          <w:tcPr>
            <w:tcW w:w="3222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99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333399"/>
                <w:sz w:val="20"/>
                <w:szCs w:val="20"/>
                <w:lang w:val="ru"/>
              </w:rPr>
              <w:t>Профессиональные услуги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           (3 763)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              (571)</w:t>
            </w:r>
          </w:p>
        </w:tc>
      </w:tr>
      <w:tr w:rsidR="001F37ED" w:rsidTr="00B643EE">
        <w:trPr>
          <w:trHeight w:val="266"/>
        </w:trPr>
        <w:tc>
          <w:tcPr>
            <w:tcW w:w="3222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99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333399"/>
                <w:sz w:val="20"/>
                <w:szCs w:val="20"/>
                <w:lang w:val="ru"/>
              </w:rPr>
              <w:t>Банковские платежи и комиссии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              (704)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              (677)</w:t>
            </w:r>
          </w:p>
        </w:tc>
      </w:tr>
      <w:tr w:rsidR="001F37ED" w:rsidTr="00B643EE">
        <w:trPr>
          <w:trHeight w:val="266"/>
        </w:trPr>
        <w:tc>
          <w:tcPr>
            <w:tcW w:w="3222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99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333399"/>
                <w:sz w:val="20"/>
                <w:szCs w:val="20"/>
                <w:lang w:val="ru"/>
              </w:rPr>
              <w:t>Износ и амортизация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           (3 049)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           (2 107)</w:t>
            </w:r>
          </w:p>
        </w:tc>
      </w:tr>
      <w:tr w:rsidR="001F37ED" w:rsidTr="00B643EE">
        <w:trPr>
          <w:trHeight w:val="266"/>
        </w:trPr>
        <w:tc>
          <w:tcPr>
            <w:tcW w:w="3222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99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333399"/>
                <w:sz w:val="20"/>
                <w:szCs w:val="20"/>
                <w:lang w:val="ru"/>
              </w:rPr>
              <w:t>Другие административные расходы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           (3 044)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           (1 341)</w:t>
            </w:r>
          </w:p>
        </w:tc>
      </w:tr>
      <w:tr w:rsidR="001F37ED" w:rsidTr="00B643EE">
        <w:trPr>
          <w:trHeight w:val="266"/>
        </w:trPr>
        <w:tc>
          <w:tcPr>
            <w:tcW w:w="3222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43EE" w:rsidRPr="00685672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643EE"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>Доля чистой прибыли в дочерних компаниях и совместных предприятиях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643EE"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                   -   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43EE" w:rsidRP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                  (0)</w:t>
            </w:r>
          </w:p>
        </w:tc>
      </w:tr>
      <w:tr w:rsidR="001F37ED" w:rsidTr="00B643EE">
        <w:trPr>
          <w:trHeight w:val="266"/>
        </w:trPr>
        <w:tc>
          <w:tcPr>
            <w:tcW w:w="3222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 Прочие расходы/доходы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"/>
              </w:rPr>
              <w:t xml:space="preserve">                (91)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"/>
              </w:rPr>
              <w:t xml:space="preserve">              (467)</w:t>
            </w:r>
          </w:p>
        </w:tc>
      </w:tr>
      <w:tr w:rsidR="001F37ED" w:rsidTr="00B643EE">
        <w:trPr>
          <w:trHeight w:val="266"/>
        </w:trPr>
        <w:tc>
          <w:tcPr>
            <w:tcW w:w="3222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99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333399"/>
                <w:sz w:val="20"/>
                <w:szCs w:val="20"/>
                <w:lang w:val="ru"/>
              </w:rPr>
              <w:t>Прочие доходы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                920 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                (34)</w:t>
            </w:r>
          </w:p>
        </w:tc>
      </w:tr>
      <w:tr w:rsidR="001F37ED" w:rsidTr="00B643EE">
        <w:trPr>
          <w:trHeight w:val="266"/>
        </w:trPr>
        <w:tc>
          <w:tcPr>
            <w:tcW w:w="3222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43EE" w:rsidRP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99"/>
                <w:sz w:val="20"/>
                <w:szCs w:val="20"/>
                <w:lang w:val="en-US"/>
              </w:rPr>
            </w:pPr>
            <w:r w:rsidRPr="00B643EE">
              <w:rPr>
                <w:rFonts w:ascii="Arial" w:hAnsi="Arial" w:cs="Arial"/>
                <w:color w:val="333399"/>
                <w:sz w:val="20"/>
                <w:szCs w:val="20"/>
                <w:lang w:val="ru"/>
              </w:rPr>
              <w:t>Результат списания основных средств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643EE"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                (97)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43EE" w:rsidRP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                    0 </w:t>
            </w:r>
          </w:p>
        </w:tc>
      </w:tr>
      <w:tr w:rsidR="001F37ED" w:rsidTr="00B643EE">
        <w:trPr>
          <w:trHeight w:val="266"/>
        </w:trPr>
        <w:tc>
          <w:tcPr>
            <w:tcW w:w="3222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99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333399"/>
                <w:sz w:val="20"/>
                <w:szCs w:val="20"/>
                <w:lang w:val="ru"/>
              </w:rPr>
              <w:t>Прочие расходы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              (914)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              (434)</w:t>
            </w:r>
          </w:p>
        </w:tc>
      </w:tr>
      <w:tr w:rsidR="001F37ED" w:rsidTr="00B643EE">
        <w:trPr>
          <w:trHeight w:val="266"/>
        </w:trPr>
        <w:tc>
          <w:tcPr>
            <w:tcW w:w="322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"/>
              </w:rPr>
              <w:t xml:space="preserve"> Операционная прибыль </w:t>
            </w:r>
          </w:p>
        </w:tc>
        <w:tc>
          <w:tcPr>
            <w:tcW w:w="88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"/>
              </w:rPr>
              <w:t xml:space="preserve">                386 </w:t>
            </w:r>
          </w:p>
        </w:tc>
        <w:tc>
          <w:tcPr>
            <w:tcW w:w="88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"/>
              </w:rPr>
              <w:t xml:space="preserve">             1 226 </w:t>
            </w:r>
          </w:p>
        </w:tc>
      </w:tr>
      <w:tr w:rsidR="001F37ED" w:rsidTr="00B643EE">
        <w:trPr>
          <w:trHeight w:val="266"/>
        </w:trPr>
        <w:tc>
          <w:tcPr>
            <w:tcW w:w="3222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Прибыли/убытки от курсовой разницы 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"/>
              </w:rPr>
              <w:t xml:space="preserve">           (2 294)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"/>
              </w:rPr>
              <w:t xml:space="preserve">              (554)</w:t>
            </w:r>
          </w:p>
        </w:tc>
      </w:tr>
      <w:tr w:rsidR="001F37ED" w:rsidTr="00B643EE">
        <w:trPr>
          <w:trHeight w:val="266"/>
        </w:trPr>
        <w:tc>
          <w:tcPr>
            <w:tcW w:w="3222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99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333399"/>
                <w:sz w:val="20"/>
                <w:szCs w:val="20"/>
                <w:lang w:val="ru"/>
              </w:rPr>
              <w:t>Доходы/расходы от хеджирования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                  (9)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                (35)</w:t>
            </w:r>
          </w:p>
        </w:tc>
      </w:tr>
      <w:tr w:rsidR="001F37ED" w:rsidTr="00B643EE">
        <w:trPr>
          <w:trHeight w:val="266"/>
        </w:trPr>
        <w:tc>
          <w:tcPr>
            <w:tcW w:w="3222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99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333399"/>
                <w:sz w:val="20"/>
                <w:szCs w:val="20"/>
                <w:lang w:val="ru"/>
              </w:rPr>
              <w:t>Доходы/расходы от обмена валюты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           (2 366)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              (518)</w:t>
            </w:r>
          </w:p>
        </w:tc>
      </w:tr>
      <w:tr w:rsidR="001F37ED" w:rsidTr="00B643EE">
        <w:trPr>
          <w:trHeight w:val="266"/>
        </w:trPr>
        <w:tc>
          <w:tcPr>
            <w:tcW w:w="3222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43EE" w:rsidRPr="00685672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643EE"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>Изменение справедливой стоимости финансовых инструментов, нетто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643EE"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                   -   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43EE" w:rsidRP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                   -   </w:t>
            </w:r>
          </w:p>
        </w:tc>
      </w:tr>
      <w:tr w:rsidR="001F37ED" w:rsidTr="00B643EE">
        <w:trPr>
          <w:trHeight w:val="266"/>
        </w:trPr>
        <w:tc>
          <w:tcPr>
            <w:tcW w:w="3222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lastRenderedPageBreak/>
              <w:t>Финансовый доход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             2 365 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                327 </w:t>
            </w:r>
          </w:p>
        </w:tc>
      </w:tr>
      <w:tr w:rsidR="001F37ED" w:rsidTr="00B643EE">
        <w:trPr>
          <w:trHeight w:val="266"/>
        </w:trPr>
        <w:tc>
          <w:tcPr>
            <w:tcW w:w="3222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>Финансовые расходы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"/>
              </w:rPr>
              <w:t xml:space="preserve">           (3 984)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"/>
              </w:rPr>
              <w:t xml:space="preserve">           (2 712)</w:t>
            </w:r>
          </w:p>
        </w:tc>
      </w:tr>
      <w:tr w:rsidR="001F37ED" w:rsidTr="00B643EE">
        <w:trPr>
          <w:trHeight w:val="266"/>
        </w:trPr>
        <w:tc>
          <w:tcPr>
            <w:tcW w:w="3222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99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333399"/>
                <w:sz w:val="20"/>
                <w:szCs w:val="20"/>
                <w:lang w:val="ru"/>
              </w:rPr>
              <w:t>Выплаченные проценты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-            2 226 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-            2 679 </w:t>
            </w:r>
          </w:p>
        </w:tc>
      </w:tr>
      <w:tr w:rsidR="001F37ED" w:rsidTr="00B643EE">
        <w:trPr>
          <w:trHeight w:val="266"/>
        </w:trPr>
        <w:tc>
          <w:tcPr>
            <w:tcW w:w="3222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43EE" w:rsidRP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99"/>
                <w:sz w:val="20"/>
                <w:szCs w:val="20"/>
                <w:lang w:val="en-US"/>
              </w:rPr>
            </w:pPr>
            <w:r w:rsidRPr="00B643EE">
              <w:rPr>
                <w:rFonts w:ascii="Arial" w:hAnsi="Arial" w:cs="Arial"/>
                <w:color w:val="333399"/>
                <w:sz w:val="20"/>
                <w:szCs w:val="20"/>
                <w:lang w:val="ru"/>
              </w:rPr>
              <w:t>Амортизация финансовых инструментов, нетто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-            1 758 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-                 33 </w:t>
            </w:r>
          </w:p>
        </w:tc>
      </w:tr>
      <w:tr w:rsidR="001F37ED" w:rsidTr="00B643EE">
        <w:trPr>
          <w:trHeight w:val="266"/>
        </w:trPr>
        <w:tc>
          <w:tcPr>
            <w:tcW w:w="322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"/>
              </w:rPr>
              <w:t xml:space="preserve"> Прибыль до налогообложения </w:t>
            </w:r>
          </w:p>
        </w:tc>
        <w:tc>
          <w:tcPr>
            <w:tcW w:w="88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"/>
              </w:rPr>
              <w:t xml:space="preserve">           (3 527)</w:t>
            </w:r>
          </w:p>
        </w:tc>
        <w:tc>
          <w:tcPr>
            <w:tcW w:w="88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"/>
              </w:rPr>
              <w:t xml:space="preserve">           (1 713)</w:t>
            </w:r>
          </w:p>
        </w:tc>
      </w:tr>
      <w:tr w:rsidR="001F37ED" w:rsidTr="00B643EE">
        <w:trPr>
          <w:trHeight w:val="266"/>
        </w:trPr>
        <w:tc>
          <w:tcPr>
            <w:tcW w:w="3222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 Расходы по налогу на прибыль 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                (50)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                (36)</w:t>
            </w:r>
          </w:p>
        </w:tc>
      </w:tr>
      <w:tr w:rsidR="001F37ED" w:rsidTr="00B643EE">
        <w:trPr>
          <w:trHeight w:val="266"/>
        </w:trPr>
        <w:tc>
          <w:tcPr>
            <w:tcW w:w="322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B643EE" w:rsidRP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643E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"/>
              </w:rPr>
              <w:t xml:space="preserve"> Чистая прибыль за год </w:t>
            </w:r>
          </w:p>
        </w:tc>
        <w:tc>
          <w:tcPr>
            <w:tcW w:w="88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643E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"/>
              </w:rPr>
              <w:t xml:space="preserve">           (3 577)</w:t>
            </w:r>
          </w:p>
        </w:tc>
        <w:tc>
          <w:tcPr>
            <w:tcW w:w="88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B643EE" w:rsidRP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"/>
              </w:rPr>
              <w:t xml:space="preserve">           (1 749)</w:t>
            </w:r>
          </w:p>
        </w:tc>
      </w:tr>
      <w:tr w:rsidR="001F37ED" w:rsidTr="00B643EE">
        <w:trPr>
          <w:trHeight w:val="266"/>
        </w:trPr>
        <w:tc>
          <w:tcPr>
            <w:tcW w:w="322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B643EE" w:rsidRP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"/>
              </w:rPr>
              <w:t>Скорректированный показатель EBITDA</w:t>
            </w:r>
          </w:p>
        </w:tc>
        <w:tc>
          <w:tcPr>
            <w:tcW w:w="88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B643EE" w:rsidRP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"/>
              </w:rPr>
              <w:t>4 367</w:t>
            </w:r>
          </w:p>
        </w:tc>
        <w:tc>
          <w:tcPr>
            <w:tcW w:w="88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B643EE" w:rsidRPr="00B643EE" w:rsidRDefault="00C26BB2" w:rsidP="00B64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"/>
              </w:rPr>
              <w:t>3 404</w:t>
            </w:r>
          </w:p>
        </w:tc>
      </w:tr>
    </w:tbl>
    <w:p w:rsidR="00AE36D0" w:rsidRPr="00AE36D0" w:rsidRDefault="00AE36D0" w:rsidP="00AE36D0">
      <w:pPr>
        <w:spacing w:after="0" w:line="24" w:lineRule="atLeast"/>
        <w:rPr>
          <w:rFonts w:ascii="Arial" w:eastAsia="Times New Roman" w:hAnsi="Arial" w:cs="Arial"/>
          <w:bCs/>
          <w:highlight w:val="yellow"/>
        </w:rPr>
      </w:pPr>
    </w:p>
    <w:p w:rsidR="00AE36D0" w:rsidRDefault="00AE36D0" w:rsidP="00AE36D0">
      <w:pPr>
        <w:spacing w:after="0" w:line="24" w:lineRule="atLeast"/>
        <w:rPr>
          <w:rFonts w:ascii="Arial" w:eastAsia="Times New Roman" w:hAnsi="Arial" w:cs="Arial"/>
          <w:bCs/>
          <w:highlight w:val="yellow"/>
        </w:rPr>
      </w:pP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58"/>
        <w:gridCol w:w="1605"/>
        <w:gridCol w:w="1603"/>
      </w:tblGrid>
      <w:tr w:rsidR="001F37ED" w:rsidTr="00656682">
        <w:trPr>
          <w:trHeight w:val="361"/>
        </w:trPr>
        <w:tc>
          <w:tcPr>
            <w:tcW w:w="3467" w:type="pct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color w:val="FFFFFF" w:themeColor="background1"/>
                <w:lang w:val="ru-RU"/>
              </w:rPr>
            </w:pPr>
            <w:r w:rsidRPr="00656682">
              <w:rPr>
                <w:rFonts w:ascii="Arial" w:eastAsia="Times New Roman" w:hAnsi="Arial" w:cs="Arial"/>
                <w:b/>
                <w:bCs/>
                <w:color w:val="FFFFFF" w:themeColor="background1"/>
                <w:lang w:val="ru"/>
              </w:rPr>
              <w:t>тыс. долл.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color w:val="FFFFFF" w:themeColor="background1"/>
                <w:lang w:val="ru-RU"/>
              </w:rPr>
            </w:pPr>
            <w:r w:rsidRPr="00656682">
              <w:rPr>
                <w:rFonts w:ascii="Arial" w:eastAsia="Times New Roman" w:hAnsi="Arial" w:cs="Arial"/>
                <w:b/>
                <w:bCs/>
                <w:color w:val="FFFFFF" w:themeColor="background1"/>
                <w:lang w:val="ru"/>
              </w:rPr>
              <w:t>6 мес. 2022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color w:val="FFFFFF" w:themeColor="background1"/>
                <w:lang w:val="ru-RU"/>
              </w:rPr>
            </w:pPr>
            <w:r w:rsidRPr="00656682">
              <w:rPr>
                <w:rFonts w:ascii="Arial" w:eastAsia="Times New Roman" w:hAnsi="Arial" w:cs="Arial"/>
                <w:b/>
                <w:bCs/>
                <w:color w:val="FFFFFF" w:themeColor="background1"/>
                <w:lang w:val="ru"/>
              </w:rPr>
              <w:t>6 мес. 2021</w:t>
            </w:r>
          </w:p>
        </w:tc>
      </w:tr>
      <w:tr w:rsidR="001F37ED" w:rsidTr="00656682">
        <w:trPr>
          <w:trHeight w:val="310"/>
        </w:trPr>
        <w:tc>
          <w:tcPr>
            <w:tcW w:w="3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ru-RU"/>
              </w:rPr>
            </w:pPr>
            <w:r w:rsidRPr="00656682">
              <w:rPr>
                <w:rFonts w:ascii="Arial" w:eastAsia="Times New Roman" w:hAnsi="Arial" w:cs="Arial"/>
                <w:b/>
                <w:bCs/>
                <w:lang w:val="ru"/>
              </w:rPr>
              <w:t>Чистая прибыль/(убыток)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ru-RU"/>
              </w:rPr>
            </w:pPr>
            <w:r w:rsidRPr="00656682">
              <w:rPr>
                <w:rFonts w:ascii="Arial" w:eastAsia="Times New Roman" w:hAnsi="Arial" w:cs="Arial"/>
                <w:b/>
                <w:bCs/>
                <w:lang w:val="ru"/>
              </w:rPr>
              <w:t>-9 919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ru-RU"/>
              </w:rPr>
            </w:pPr>
            <w:r w:rsidRPr="00656682">
              <w:rPr>
                <w:rFonts w:ascii="Arial" w:eastAsia="Times New Roman" w:hAnsi="Arial" w:cs="Arial"/>
                <w:b/>
                <w:bCs/>
                <w:lang w:val="ru"/>
              </w:rPr>
              <w:t>3 743</w:t>
            </w:r>
          </w:p>
        </w:tc>
      </w:tr>
      <w:tr w:rsidR="001F37ED" w:rsidRPr="00147AAF" w:rsidTr="00656682">
        <w:trPr>
          <w:trHeight w:val="310"/>
        </w:trPr>
        <w:tc>
          <w:tcPr>
            <w:tcW w:w="4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8567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ru-RU"/>
              </w:rPr>
            </w:pPr>
            <w:r w:rsidRPr="00656682">
              <w:rPr>
                <w:rFonts w:ascii="Arial" w:eastAsia="Times New Roman" w:hAnsi="Arial" w:cs="Arial"/>
                <w:b/>
                <w:bCs/>
                <w:lang w:val="ru"/>
              </w:rPr>
              <w:t>Корректировки для приведения чистой прибыли в соответствие чистым денежным потокам: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85672" w:rsidRDefault="0065668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ru-RU"/>
              </w:rPr>
            </w:pPr>
          </w:p>
        </w:tc>
      </w:tr>
      <w:tr w:rsidR="001F37ED" w:rsidTr="00656682">
        <w:trPr>
          <w:trHeight w:val="310"/>
        </w:trPr>
        <w:tc>
          <w:tcPr>
            <w:tcW w:w="3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ru-RU"/>
              </w:rPr>
            </w:pPr>
            <w:r w:rsidRPr="00656682">
              <w:rPr>
                <w:rFonts w:ascii="Arial" w:eastAsia="Times New Roman" w:hAnsi="Arial" w:cs="Arial"/>
                <w:bCs/>
                <w:lang w:val="ru"/>
              </w:rPr>
              <w:t>Расходы по налогу на прибыль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ru-RU"/>
              </w:rPr>
            </w:pPr>
            <w:r w:rsidRPr="00656682">
              <w:rPr>
                <w:rFonts w:ascii="Arial" w:eastAsia="Times New Roman" w:hAnsi="Arial" w:cs="Arial"/>
                <w:bCs/>
                <w:lang w:val="ru"/>
              </w:rPr>
              <w:t>696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ru-RU"/>
              </w:rPr>
            </w:pPr>
            <w:r w:rsidRPr="00656682">
              <w:rPr>
                <w:rFonts w:ascii="Arial" w:eastAsia="Times New Roman" w:hAnsi="Arial" w:cs="Arial"/>
                <w:bCs/>
                <w:lang w:val="ru"/>
              </w:rPr>
              <w:t>1 289</w:t>
            </w:r>
          </w:p>
        </w:tc>
      </w:tr>
      <w:tr w:rsidR="001F37ED" w:rsidTr="00656682">
        <w:trPr>
          <w:trHeight w:val="310"/>
        </w:trPr>
        <w:tc>
          <w:tcPr>
            <w:tcW w:w="34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ru-RU"/>
              </w:rPr>
            </w:pPr>
            <w:r w:rsidRPr="00656682">
              <w:rPr>
                <w:rFonts w:ascii="Arial" w:eastAsia="Times New Roman" w:hAnsi="Arial" w:cs="Arial"/>
                <w:bCs/>
                <w:lang w:val="ru"/>
              </w:rPr>
              <w:t>Износ и амортизация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ru-RU"/>
              </w:rPr>
            </w:pPr>
            <w:r w:rsidRPr="00656682">
              <w:rPr>
                <w:rFonts w:ascii="Arial" w:eastAsia="Times New Roman" w:hAnsi="Arial" w:cs="Arial"/>
                <w:bCs/>
                <w:lang w:val="ru"/>
              </w:rPr>
              <w:t>5 554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ru-RU"/>
              </w:rPr>
            </w:pPr>
            <w:r w:rsidRPr="00656682">
              <w:rPr>
                <w:rFonts w:ascii="Arial" w:eastAsia="Times New Roman" w:hAnsi="Arial" w:cs="Arial"/>
                <w:bCs/>
                <w:lang w:val="ru"/>
              </w:rPr>
              <w:t>9 778</w:t>
            </w:r>
          </w:p>
        </w:tc>
      </w:tr>
      <w:tr w:rsidR="001F37ED" w:rsidTr="00656682">
        <w:trPr>
          <w:trHeight w:val="310"/>
        </w:trPr>
        <w:tc>
          <w:tcPr>
            <w:tcW w:w="3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ru-RU"/>
              </w:rPr>
            </w:pPr>
            <w:r w:rsidRPr="00656682">
              <w:rPr>
                <w:rFonts w:ascii="Arial" w:eastAsia="Times New Roman" w:hAnsi="Arial" w:cs="Arial"/>
                <w:bCs/>
                <w:lang w:val="ru"/>
              </w:rPr>
              <w:t>Финансовые расходы и доходы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ru-RU"/>
              </w:rPr>
            </w:pPr>
            <w:r w:rsidRPr="00656682">
              <w:rPr>
                <w:rFonts w:ascii="Arial" w:eastAsia="Times New Roman" w:hAnsi="Arial" w:cs="Arial"/>
                <w:bCs/>
                <w:lang w:val="ru"/>
              </w:rPr>
              <w:t>5 017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ru-RU"/>
              </w:rPr>
            </w:pPr>
            <w:r w:rsidRPr="00656682">
              <w:rPr>
                <w:rFonts w:ascii="Arial" w:eastAsia="Times New Roman" w:hAnsi="Arial" w:cs="Arial"/>
                <w:bCs/>
                <w:lang w:val="ru"/>
              </w:rPr>
              <w:t>8 508</w:t>
            </w:r>
          </w:p>
        </w:tc>
      </w:tr>
      <w:tr w:rsidR="001F37ED" w:rsidTr="00656682">
        <w:trPr>
          <w:trHeight w:val="310"/>
        </w:trPr>
        <w:tc>
          <w:tcPr>
            <w:tcW w:w="34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ru-RU"/>
              </w:rPr>
            </w:pPr>
            <w:r w:rsidRPr="00656682">
              <w:rPr>
                <w:rFonts w:ascii="Arial" w:eastAsia="Times New Roman" w:hAnsi="Arial" w:cs="Arial"/>
                <w:bCs/>
                <w:lang w:val="ru"/>
              </w:rPr>
              <w:t>Убытки/(прибыль) от курсовой разницы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ru-RU"/>
              </w:rPr>
            </w:pPr>
            <w:r w:rsidRPr="00656682">
              <w:rPr>
                <w:rFonts w:ascii="Arial" w:eastAsia="Times New Roman" w:hAnsi="Arial" w:cs="Arial"/>
                <w:bCs/>
                <w:lang w:val="ru"/>
              </w:rPr>
              <w:t>5 385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ru-RU"/>
              </w:rPr>
            </w:pPr>
            <w:r w:rsidRPr="00656682">
              <w:rPr>
                <w:rFonts w:ascii="Arial" w:eastAsia="Times New Roman" w:hAnsi="Arial" w:cs="Arial"/>
                <w:bCs/>
                <w:lang w:val="ru"/>
              </w:rPr>
              <w:t>1 367</w:t>
            </w:r>
          </w:p>
        </w:tc>
      </w:tr>
      <w:tr w:rsidR="001F37ED" w:rsidTr="00656682">
        <w:trPr>
          <w:trHeight w:val="310"/>
        </w:trPr>
        <w:tc>
          <w:tcPr>
            <w:tcW w:w="3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ru-RU"/>
              </w:rPr>
            </w:pPr>
            <w:r w:rsidRPr="00656682">
              <w:rPr>
                <w:rFonts w:ascii="Arial" w:eastAsia="Times New Roman" w:hAnsi="Arial" w:cs="Arial"/>
                <w:bCs/>
                <w:lang w:val="ru"/>
              </w:rPr>
              <w:t>Прочее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ru-RU"/>
              </w:rPr>
            </w:pPr>
            <w:r w:rsidRPr="00656682">
              <w:rPr>
                <w:rFonts w:ascii="Arial" w:eastAsia="Times New Roman" w:hAnsi="Arial" w:cs="Arial"/>
                <w:bCs/>
                <w:lang w:val="ru"/>
              </w:rPr>
              <w:t>1 968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ru-RU"/>
              </w:rPr>
            </w:pPr>
            <w:r w:rsidRPr="00656682">
              <w:rPr>
                <w:rFonts w:ascii="Arial" w:eastAsia="Times New Roman" w:hAnsi="Arial" w:cs="Arial"/>
                <w:bCs/>
                <w:lang w:val="ru"/>
              </w:rPr>
              <w:t>402</w:t>
            </w:r>
          </w:p>
        </w:tc>
      </w:tr>
      <w:tr w:rsidR="001F37ED" w:rsidTr="00656682">
        <w:trPr>
          <w:trHeight w:val="310"/>
        </w:trPr>
        <w:tc>
          <w:tcPr>
            <w:tcW w:w="34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8567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ru-RU"/>
              </w:rPr>
            </w:pPr>
            <w:r w:rsidRPr="00656682">
              <w:rPr>
                <w:rFonts w:ascii="Arial" w:eastAsia="Times New Roman" w:hAnsi="Arial" w:cs="Arial"/>
                <w:b/>
                <w:bCs/>
                <w:lang w:val="ru"/>
              </w:rPr>
              <w:t xml:space="preserve">Операционная прибыль до изменения оборотного капитала 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ru-RU"/>
              </w:rPr>
            </w:pPr>
            <w:r w:rsidRPr="00656682">
              <w:rPr>
                <w:rFonts w:ascii="Arial" w:eastAsia="Times New Roman" w:hAnsi="Arial" w:cs="Arial"/>
                <w:b/>
                <w:bCs/>
                <w:lang w:val="ru"/>
              </w:rPr>
              <w:t>8 701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ru-RU"/>
              </w:rPr>
            </w:pPr>
            <w:r w:rsidRPr="00656682">
              <w:rPr>
                <w:rFonts w:ascii="Arial" w:eastAsia="Times New Roman" w:hAnsi="Arial" w:cs="Arial"/>
                <w:b/>
                <w:bCs/>
                <w:lang w:val="ru"/>
              </w:rPr>
              <w:t>25 086</w:t>
            </w:r>
          </w:p>
        </w:tc>
      </w:tr>
      <w:tr w:rsidR="001F37ED" w:rsidTr="00656682">
        <w:trPr>
          <w:trHeight w:val="310"/>
        </w:trPr>
        <w:tc>
          <w:tcPr>
            <w:tcW w:w="3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ru-RU"/>
              </w:rPr>
            </w:pPr>
            <w:r w:rsidRPr="00656682">
              <w:rPr>
                <w:rFonts w:ascii="Arial" w:eastAsia="Times New Roman" w:hAnsi="Arial" w:cs="Arial"/>
                <w:bCs/>
                <w:lang w:val="ru"/>
              </w:rPr>
              <w:t>Корректировки оборотного капитала: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ru-RU"/>
              </w:rPr>
            </w:pPr>
            <w:r w:rsidRPr="00656682">
              <w:rPr>
                <w:rFonts w:ascii="Arial" w:eastAsia="Times New Roman" w:hAnsi="Arial" w:cs="Arial"/>
                <w:bCs/>
                <w:lang w:val="en-US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ru-RU"/>
              </w:rPr>
            </w:pPr>
            <w:r w:rsidRPr="00656682">
              <w:rPr>
                <w:rFonts w:ascii="Arial" w:eastAsia="Times New Roman" w:hAnsi="Arial" w:cs="Arial"/>
                <w:bCs/>
                <w:lang w:val="en-US"/>
              </w:rPr>
              <w:t> </w:t>
            </w:r>
          </w:p>
        </w:tc>
      </w:tr>
      <w:tr w:rsidR="001F37ED" w:rsidTr="00656682">
        <w:trPr>
          <w:trHeight w:val="310"/>
        </w:trPr>
        <w:tc>
          <w:tcPr>
            <w:tcW w:w="34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ru-RU"/>
              </w:rPr>
            </w:pPr>
            <w:r w:rsidRPr="00656682">
              <w:rPr>
                <w:rFonts w:ascii="Arial" w:eastAsia="Times New Roman" w:hAnsi="Arial" w:cs="Arial"/>
                <w:bCs/>
                <w:lang w:val="ru"/>
              </w:rPr>
              <w:t xml:space="preserve">(Увеличение)/уменьшение запасов 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ru-RU"/>
              </w:rPr>
            </w:pPr>
            <w:r w:rsidRPr="00656682">
              <w:rPr>
                <w:rFonts w:ascii="Arial" w:eastAsia="Times New Roman" w:hAnsi="Arial" w:cs="Arial"/>
                <w:bCs/>
                <w:lang w:val="ru"/>
              </w:rPr>
              <w:t>5 451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ru-RU"/>
              </w:rPr>
            </w:pPr>
            <w:r w:rsidRPr="00656682">
              <w:rPr>
                <w:rFonts w:ascii="Arial" w:eastAsia="Times New Roman" w:hAnsi="Arial" w:cs="Arial"/>
                <w:bCs/>
                <w:lang w:val="ru"/>
              </w:rPr>
              <w:t>-11 670</w:t>
            </w:r>
          </w:p>
        </w:tc>
      </w:tr>
      <w:tr w:rsidR="001F37ED" w:rsidTr="00656682">
        <w:trPr>
          <w:trHeight w:val="310"/>
        </w:trPr>
        <w:tc>
          <w:tcPr>
            <w:tcW w:w="3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en-US"/>
              </w:rPr>
            </w:pPr>
            <w:r w:rsidRPr="00656682">
              <w:rPr>
                <w:rFonts w:ascii="Arial" w:eastAsia="Times New Roman" w:hAnsi="Arial" w:cs="Arial"/>
                <w:bCs/>
                <w:lang w:val="ru"/>
              </w:rPr>
              <w:t>(Увеличение)/уменьшение выданных авансов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ru-RU"/>
              </w:rPr>
            </w:pPr>
            <w:r w:rsidRPr="00656682">
              <w:rPr>
                <w:rFonts w:ascii="Arial" w:eastAsia="Times New Roman" w:hAnsi="Arial" w:cs="Arial"/>
                <w:bCs/>
                <w:lang w:val="ru"/>
              </w:rPr>
              <w:t>-4 744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ru-RU"/>
              </w:rPr>
            </w:pPr>
            <w:r w:rsidRPr="00656682">
              <w:rPr>
                <w:rFonts w:ascii="Arial" w:eastAsia="Times New Roman" w:hAnsi="Arial" w:cs="Arial"/>
                <w:bCs/>
                <w:lang w:val="ru"/>
              </w:rPr>
              <w:t>-10 450</w:t>
            </w:r>
          </w:p>
        </w:tc>
      </w:tr>
      <w:tr w:rsidR="001F37ED" w:rsidTr="00656682">
        <w:trPr>
          <w:trHeight w:val="310"/>
        </w:trPr>
        <w:tc>
          <w:tcPr>
            <w:tcW w:w="34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en-US"/>
              </w:rPr>
            </w:pPr>
            <w:r w:rsidRPr="00656682">
              <w:rPr>
                <w:rFonts w:ascii="Arial" w:eastAsia="Times New Roman" w:hAnsi="Arial" w:cs="Arial"/>
                <w:bCs/>
                <w:lang w:val="ru"/>
              </w:rPr>
              <w:t>Увеличение/(уменьшение) полученных авансов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ru-RU"/>
              </w:rPr>
            </w:pPr>
            <w:r w:rsidRPr="00656682">
              <w:rPr>
                <w:rFonts w:ascii="Arial" w:eastAsia="Times New Roman" w:hAnsi="Arial" w:cs="Arial"/>
                <w:bCs/>
                <w:lang w:val="ru"/>
              </w:rPr>
              <w:t>12 782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ru-RU"/>
              </w:rPr>
            </w:pPr>
            <w:r w:rsidRPr="00656682">
              <w:rPr>
                <w:rFonts w:ascii="Arial" w:eastAsia="Times New Roman" w:hAnsi="Arial" w:cs="Arial"/>
                <w:bCs/>
                <w:lang w:val="ru"/>
              </w:rPr>
              <w:t>-926</w:t>
            </w:r>
          </w:p>
        </w:tc>
      </w:tr>
      <w:tr w:rsidR="001F37ED" w:rsidTr="00656682">
        <w:trPr>
          <w:trHeight w:val="310"/>
        </w:trPr>
        <w:tc>
          <w:tcPr>
            <w:tcW w:w="3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8567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ru-RU"/>
              </w:rPr>
            </w:pPr>
            <w:r w:rsidRPr="00656682">
              <w:rPr>
                <w:rFonts w:ascii="Arial" w:eastAsia="Times New Roman" w:hAnsi="Arial" w:cs="Arial"/>
                <w:bCs/>
                <w:lang w:val="ru"/>
              </w:rPr>
              <w:t>(Увеличение)/Уменьшение торговой и прочей дебиторской задолженности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ru-RU"/>
              </w:rPr>
            </w:pPr>
            <w:r w:rsidRPr="00656682">
              <w:rPr>
                <w:rFonts w:ascii="Arial" w:eastAsia="Times New Roman" w:hAnsi="Arial" w:cs="Arial"/>
                <w:bCs/>
                <w:lang w:val="ru"/>
              </w:rPr>
              <w:t>-26 777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ru-RU"/>
              </w:rPr>
            </w:pPr>
            <w:r w:rsidRPr="00656682">
              <w:rPr>
                <w:rFonts w:ascii="Arial" w:eastAsia="Times New Roman" w:hAnsi="Arial" w:cs="Arial"/>
                <w:bCs/>
                <w:lang w:val="ru"/>
              </w:rPr>
              <w:t>-51 976</w:t>
            </w:r>
          </w:p>
        </w:tc>
      </w:tr>
      <w:tr w:rsidR="001F37ED" w:rsidTr="00656682">
        <w:trPr>
          <w:trHeight w:val="310"/>
        </w:trPr>
        <w:tc>
          <w:tcPr>
            <w:tcW w:w="34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8567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ru-RU"/>
              </w:rPr>
            </w:pPr>
            <w:r w:rsidRPr="00656682">
              <w:rPr>
                <w:rFonts w:ascii="Arial" w:eastAsia="Times New Roman" w:hAnsi="Arial" w:cs="Arial"/>
                <w:bCs/>
                <w:lang w:val="ru"/>
              </w:rPr>
              <w:t>(Увеличение)/уменьшение прочих оборотных активов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ru-RU"/>
              </w:rPr>
            </w:pPr>
            <w:r w:rsidRPr="00656682">
              <w:rPr>
                <w:rFonts w:ascii="Arial" w:eastAsia="Times New Roman" w:hAnsi="Arial" w:cs="Arial"/>
                <w:bCs/>
                <w:lang w:val="ru"/>
              </w:rPr>
              <w:t>-8 933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ru-RU"/>
              </w:rPr>
            </w:pPr>
            <w:r w:rsidRPr="00656682">
              <w:rPr>
                <w:rFonts w:ascii="Arial" w:eastAsia="Times New Roman" w:hAnsi="Arial" w:cs="Arial"/>
                <w:bCs/>
                <w:lang w:val="ru"/>
              </w:rPr>
              <w:t>5 567</w:t>
            </w:r>
          </w:p>
        </w:tc>
      </w:tr>
      <w:tr w:rsidR="001F37ED" w:rsidTr="00656682">
        <w:trPr>
          <w:trHeight w:val="310"/>
        </w:trPr>
        <w:tc>
          <w:tcPr>
            <w:tcW w:w="3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8567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ru-RU"/>
              </w:rPr>
            </w:pPr>
            <w:r w:rsidRPr="00656682">
              <w:rPr>
                <w:rFonts w:ascii="Arial" w:eastAsia="Times New Roman" w:hAnsi="Arial" w:cs="Arial"/>
                <w:bCs/>
                <w:lang w:val="ru"/>
              </w:rPr>
              <w:t>Увеличение/(уменьшение) торговой и прочей кредиторской задолженности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ru-RU"/>
              </w:rPr>
            </w:pPr>
            <w:r w:rsidRPr="00656682">
              <w:rPr>
                <w:rFonts w:ascii="Arial" w:eastAsia="Times New Roman" w:hAnsi="Arial" w:cs="Arial"/>
                <w:bCs/>
                <w:lang w:val="ru"/>
              </w:rPr>
              <w:t>-50 037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ru-RU"/>
              </w:rPr>
            </w:pPr>
            <w:r w:rsidRPr="00656682">
              <w:rPr>
                <w:rFonts w:ascii="Arial" w:eastAsia="Times New Roman" w:hAnsi="Arial" w:cs="Arial"/>
                <w:bCs/>
                <w:lang w:val="ru"/>
              </w:rPr>
              <w:t>-15 130</w:t>
            </w:r>
          </w:p>
        </w:tc>
      </w:tr>
      <w:tr w:rsidR="001F37ED" w:rsidTr="00656682">
        <w:trPr>
          <w:trHeight w:val="310"/>
        </w:trPr>
        <w:tc>
          <w:tcPr>
            <w:tcW w:w="34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ru-RU"/>
              </w:rPr>
            </w:pPr>
            <w:r w:rsidRPr="00656682">
              <w:rPr>
                <w:rFonts w:ascii="Arial" w:eastAsia="Times New Roman" w:hAnsi="Arial" w:cs="Arial"/>
                <w:b/>
                <w:bCs/>
                <w:lang w:val="ru"/>
              </w:rPr>
              <w:t>Денежные средства, полученные от хозяйственной деятельности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ru-RU"/>
              </w:rPr>
            </w:pPr>
            <w:r w:rsidRPr="00656682">
              <w:rPr>
                <w:rFonts w:ascii="Arial" w:eastAsia="Times New Roman" w:hAnsi="Arial" w:cs="Arial"/>
                <w:b/>
                <w:bCs/>
                <w:lang w:val="ru"/>
              </w:rPr>
              <w:t>-63 558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ru-RU"/>
              </w:rPr>
            </w:pPr>
            <w:r w:rsidRPr="00656682">
              <w:rPr>
                <w:rFonts w:ascii="Arial" w:eastAsia="Times New Roman" w:hAnsi="Arial" w:cs="Arial"/>
                <w:b/>
                <w:bCs/>
                <w:lang w:val="ru"/>
              </w:rPr>
              <w:t>-59 498</w:t>
            </w:r>
          </w:p>
        </w:tc>
      </w:tr>
      <w:tr w:rsidR="001F37ED" w:rsidTr="00656682">
        <w:trPr>
          <w:trHeight w:val="310"/>
        </w:trPr>
        <w:tc>
          <w:tcPr>
            <w:tcW w:w="3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ru-RU"/>
              </w:rPr>
            </w:pPr>
            <w:r w:rsidRPr="00656682">
              <w:rPr>
                <w:rFonts w:ascii="Arial" w:eastAsia="Times New Roman" w:hAnsi="Arial" w:cs="Arial"/>
                <w:bCs/>
                <w:lang w:val="ru"/>
              </w:rPr>
              <w:t>Уплаченный подоходный налог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ru-RU"/>
              </w:rPr>
            </w:pPr>
            <w:r w:rsidRPr="00656682">
              <w:rPr>
                <w:rFonts w:ascii="Arial" w:eastAsia="Times New Roman" w:hAnsi="Arial" w:cs="Arial"/>
                <w:bCs/>
                <w:lang w:val="ru"/>
              </w:rPr>
              <w:t>-168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ru-RU"/>
              </w:rPr>
            </w:pPr>
            <w:r w:rsidRPr="00656682">
              <w:rPr>
                <w:rFonts w:ascii="Arial" w:eastAsia="Times New Roman" w:hAnsi="Arial" w:cs="Arial"/>
                <w:bCs/>
                <w:lang w:val="ru"/>
              </w:rPr>
              <w:t>-975</w:t>
            </w:r>
          </w:p>
        </w:tc>
      </w:tr>
      <w:tr w:rsidR="001F37ED" w:rsidTr="00656682">
        <w:trPr>
          <w:trHeight w:val="310"/>
        </w:trPr>
        <w:tc>
          <w:tcPr>
            <w:tcW w:w="34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8567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ru-RU"/>
              </w:rPr>
            </w:pPr>
            <w:r w:rsidRPr="00656682">
              <w:rPr>
                <w:rFonts w:ascii="Arial" w:eastAsia="Times New Roman" w:hAnsi="Arial" w:cs="Arial"/>
                <w:b/>
                <w:bCs/>
                <w:lang w:val="ru"/>
              </w:rPr>
              <w:t>Чистые денежные средства, полученные от хозяйственной деятельности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ru-RU"/>
              </w:rPr>
            </w:pPr>
            <w:r w:rsidRPr="00656682">
              <w:rPr>
                <w:rFonts w:ascii="Arial" w:eastAsia="Times New Roman" w:hAnsi="Arial" w:cs="Arial"/>
                <w:b/>
                <w:bCs/>
                <w:lang w:val="ru"/>
              </w:rPr>
              <w:t>-63 726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ru-RU"/>
              </w:rPr>
            </w:pPr>
            <w:r w:rsidRPr="00656682">
              <w:rPr>
                <w:rFonts w:ascii="Arial" w:eastAsia="Times New Roman" w:hAnsi="Arial" w:cs="Arial"/>
                <w:b/>
                <w:bCs/>
                <w:lang w:val="ru"/>
              </w:rPr>
              <w:t>-60 473</w:t>
            </w:r>
          </w:p>
        </w:tc>
      </w:tr>
      <w:tr w:rsidR="001F37ED" w:rsidRPr="00147AAF" w:rsidTr="00656682">
        <w:trPr>
          <w:trHeight w:val="310"/>
        </w:trPr>
        <w:tc>
          <w:tcPr>
            <w:tcW w:w="34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8567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ru-RU"/>
              </w:rPr>
            </w:pPr>
            <w:r w:rsidRPr="00656682">
              <w:rPr>
                <w:rFonts w:ascii="Arial" w:eastAsia="Times New Roman" w:hAnsi="Arial" w:cs="Arial"/>
                <w:bCs/>
                <w:lang w:val="ru"/>
              </w:rPr>
              <w:t>Денежные потоки от инвестиционной деятельности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8567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ru-RU"/>
              </w:rPr>
            </w:pPr>
            <w:r w:rsidRPr="00656682">
              <w:rPr>
                <w:rFonts w:ascii="Arial" w:eastAsia="Times New Roman" w:hAnsi="Arial" w:cs="Arial"/>
                <w:bCs/>
                <w:lang w:val="en-US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8567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ru-RU"/>
              </w:rPr>
            </w:pPr>
            <w:r w:rsidRPr="00656682">
              <w:rPr>
                <w:rFonts w:ascii="Arial" w:eastAsia="Times New Roman" w:hAnsi="Arial" w:cs="Arial"/>
                <w:bCs/>
                <w:lang w:val="en-US"/>
              </w:rPr>
              <w:t> </w:t>
            </w:r>
          </w:p>
        </w:tc>
      </w:tr>
      <w:tr w:rsidR="001F37ED" w:rsidTr="00656682">
        <w:trPr>
          <w:trHeight w:val="310"/>
        </w:trPr>
        <w:tc>
          <w:tcPr>
            <w:tcW w:w="34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en-US"/>
              </w:rPr>
            </w:pPr>
            <w:r w:rsidRPr="00656682">
              <w:rPr>
                <w:rFonts w:ascii="Arial" w:eastAsia="Times New Roman" w:hAnsi="Arial" w:cs="Arial"/>
                <w:bCs/>
                <w:lang w:val="ru"/>
              </w:rPr>
              <w:t xml:space="preserve">Приобретение основных средств 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en-US"/>
              </w:rPr>
            </w:pPr>
            <w:r w:rsidRPr="00656682">
              <w:rPr>
                <w:rFonts w:ascii="Arial" w:eastAsia="Times New Roman" w:hAnsi="Arial" w:cs="Arial"/>
                <w:bCs/>
                <w:lang w:val="ru"/>
              </w:rPr>
              <w:t>-590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en-US"/>
              </w:rPr>
            </w:pPr>
            <w:r w:rsidRPr="00656682">
              <w:rPr>
                <w:rFonts w:ascii="Arial" w:eastAsia="Times New Roman" w:hAnsi="Arial" w:cs="Arial"/>
                <w:bCs/>
                <w:lang w:val="ru"/>
              </w:rPr>
              <w:t>-4 429</w:t>
            </w:r>
          </w:p>
        </w:tc>
      </w:tr>
      <w:tr w:rsidR="001F37ED" w:rsidTr="00656682">
        <w:trPr>
          <w:trHeight w:val="310"/>
        </w:trPr>
        <w:tc>
          <w:tcPr>
            <w:tcW w:w="34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8567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ru-RU"/>
              </w:rPr>
            </w:pPr>
            <w:r w:rsidRPr="00656682">
              <w:rPr>
                <w:rFonts w:ascii="Arial" w:eastAsia="Times New Roman" w:hAnsi="Arial" w:cs="Arial"/>
                <w:bCs/>
                <w:lang w:val="ru"/>
              </w:rPr>
              <w:t>Создание и приобретение нематериальных активов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en-US"/>
              </w:rPr>
            </w:pPr>
            <w:r w:rsidRPr="00656682">
              <w:rPr>
                <w:rFonts w:ascii="Arial" w:eastAsia="Times New Roman" w:hAnsi="Arial" w:cs="Arial"/>
                <w:bCs/>
                <w:lang w:val="ru"/>
              </w:rPr>
              <w:t>-3 591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en-US"/>
              </w:rPr>
            </w:pPr>
            <w:r w:rsidRPr="00656682">
              <w:rPr>
                <w:rFonts w:ascii="Arial" w:eastAsia="Times New Roman" w:hAnsi="Arial" w:cs="Arial"/>
                <w:bCs/>
                <w:lang w:val="ru"/>
              </w:rPr>
              <w:t>-9 179</w:t>
            </w:r>
          </w:p>
        </w:tc>
      </w:tr>
      <w:tr w:rsidR="001F37ED" w:rsidTr="00656682">
        <w:trPr>
          <w:trHeight w:val="310"/>
        </w:trPr>
        <w:tc>
          <w:tcPr>
            <w:tcW w:w="34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8567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ru-RU"/>
              </w:rPr>
            </w:pPr>
            <w:r w:rsidRPr="00656682">
              <w:rPr>
                <w:rFonts w:ascii="Arial" w:eastAsia="Times New Roman" w:hAnsi="Arial" w:cs="Arial"/>
                <w:bCs/>
                <w:lang w:val="ru"/>
              </w:rPr>
              <w:t>Инвестиции в дочерние компании и совместные предприятия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en-US"/>
              </w:rPr>
            </w:pPr>
            <w:r w:rsidRPr="00656682">
              <w:rPr>
                <w:rFonts w:ascii="Arial" w:eastAsia="Times New Roman" w:hAnsi="Arial" w:cs="Arial"/>
                <w:bCs/>
                <w:lang w:val="ru"/>
              </w:rPr>
              <w:t>-47 429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en-US"/>
              </w:rPr>
            </w:pPr>
            <w:r w:rsidRPr="00656682">
              <w:rPr>
                <w:rFonts w:ascii="Arial" w:eastAsia="Times New Roman" w:hAnsi="Arial" w:cs="Arial"/>
                <w:bCs/>
                <w:lang w:val="ru"/>
              </w:rPr>
              <w:t>-26 125</w:t>
            </w:r>
          </w:p>
        </w:tc>
      </w:tr>
      <w:tr w:rsidR="001F37ED" w:rsidTr="00656682">
        <w:trPr>
          <w:trHeight w:val="310"/>
        </w:trPr>
        <w:tc>
          <w:tcPr>
            <w:tcW w:w="34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en-US"/>
              </w:rPr>
            </w:pPr>
            <w:r w:rsidRPr="00656682">
              <w:rPr>
                <w:rFonts w:ascii="Arial" w:eastAsia="Times New Roman" w:hAnsi="Arial" w:cs="Arial"/>
                <w:bCs/>
                <w:lang w:val="ru"/>
              </w:rPr>
              <w:t>Ликвидация дочерних компаний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en-US"/>
              </w:rPr>
            </w:pPr>
            <w:r w:rsidRPr="00656682">
              <w:rPr>
                <w:rFonts w:ascii="Arial" w:eastAsia="Times New Roman" w:hAnsi="Arial" w:cs="Arial"/>
                <w:bCs/>
                <w:lang w:val="ru"/>
              </w:rPr>
              <w:t>-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en-US"/>
              </w:rPr>
            </w:pPr>
            <w:r w:rsidRPr="00656682">
              <w:rPr>
                <w:rFonts w:ascii="Arial" w:eastAsia="Times New Roman" w:hAnsi="Arial" w:cs="Arial"/>
                <w:bCs/>
                <w:lang w:val="ru"/>
              </w:rPr>
              <w:t>-1 411</w:t>
            </w:r>
          </w:p>
        </w:tc>
      </w:tr>
      <w:tr w:rsidR="001F37ED" w:rsidTr="00656682">
        <w:trPr>
          <w:trHeight w:val="310"/>
        </w:trPr>
        <w:tc>
          <w:tcPr>
            <w:tcW w:w="34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en-US"/>
              </w:rPr>
            </w:pPr>
            <w:r w:rsidRPr="00656682">
              <w:rPr>
                <w:rFonts w:ascii="Arial" w:eastAsia="Times New Roman" w:hAnsi="Arial" w:cs="Arial"/>
                <w:bCs/>
                <w:lang w:val="ru"/>
              </w:rPr>
              <w:t>Продажа акций Crayon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en-US"/>
              </w:rPr>
            </w:pPr>
            <w:r w:rsidRPr="00656682">
              <w:rPr>
                <w:rFonts w:ascii="Arial" w:eastAsia="Times New Roman" w:hAnsi="Arial" w:cs="Arial"/>
                <w:bCs/>
                <w:lang w:val="ru"/>
              </w:rPr>
              <w:t>42 268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en-US"/>
              </w:rPr>
            </w:pPr>
            <w:r w:rsidRPr="00656682">
              <w:rPr>
                <w:rFonts w:ascii="Arial" w:eastAsia="Times New Roman" w:hAnsi="Arial" w:cs="Arial"/>
                <w:bCs/>
                <w:lang w:val="ru"/>
              </w:rPr>
              <w:t>35 650</w:t>
            </w:r>
          </w:p>
        </w:tc>
      </w:tr>
      <w:tr w:rsidR="001F37ED" w:rsidTr="00656682">
        <w:trPr>
          <w:trHeight w:val="310"/>
        </w:trPr>
        <w:tc>
          <w:tcPr>
            <w:tcW w:w="34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en-US"/>
              </w:rPr>
            </w:pPr>
            <w:r w:rsidRPr="00656682">
              <w:rPr>
                <w:rFonts w:ascii="Arial" w:eastAsia="Times New Roman" w:hAnsi="Arial" w:cs="Arial"/>
                <w:bCs/>
                <w:lang w:val="ru"/>
              </w:rPr>
              <w:t>Собственные акции на балансе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en-US"/>
              </w:rPr>
            </w:pPr>
            <w:r w:rsidRPr="00656682">
              <w:rPr>
                <w:rFonts w:ascii="Arial" w:eastAsia="Times New Roman" w:hAnsi="Arial" w:cs="Arial"/>
                <w:bCs/>
                <w:lang w:val="ru"/>
              </w:rPr>
              <w:t>-4 420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en-US"/>
              </w:rPr>
            </w:pPr>
            <w:r w:rsidRPr="00656682">
              <w:rPr>
                <w:rFonts w:ascii="Arial" w:eastAsia="Times New Roman" w:hAnsi="Arial" w:cs="Arial"/>
                <w:bCs/>
                <w:lang w:val="ru"/>
              </w:rPr>
              <w:t>-</w:t>
            </w:r>
          </w:p>
        </w:tc>
      </w:tr>
      <w:tr w:rsidR="001F37ED" w:rsidTr="00656682">
        <w:trPr>
          <w:trHeight w:val="310"/>
        </w:trPr>
        <w:tc>
          <w:tcPr>
            <w:tcW w:w="34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8567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ru-RU"/>
              </w:rPr>
            </w:pPr>
            <w:r w:rsidRPr="00656682">
              <w:rPr>
                <w:rFonts w:ascii="Arial" w:eastAsia="Times New Roman" w:hAnsi="Arial" w:cs="Arial"/>
                <w:bCs/>
                <w:lang w:val="ru"/>
              </w:rPr>
              <w:t>Полученные проценты (займы и депозиты)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en-US"/>
              </w:rPr>
            </w:pPr>
            <w:r w:rsidRPr="00656682">
              <w:rPr>
                <w:rFonts w:ascii="Arial" w:eastAsia="Times New Roman" w:hAnsi="Arial" w:cs="Arial"/>
                <w:bCs/>
                <w:lang w:val="ru"/>
              </w:rPr>
              <w:t>1 197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en-US"/>
              </w:rPr>
            </w:pPr>
            <w:r w:rsidRPr="00656682">
              <w:rPr>
                <w:rFonts w:ascii="Arial" w:eastAsia="Times New Roman" w:hAnsi="Arial" w:cs="Arial"/>
                <w:bCs/>
                <w:lang w:val="ru"/>
              </w:rPr>
              <w:t>695</w:t>
            </w:r>
          </w:p>
        </w:tc>
      </w:tr>
      <w:tr w:rsidR="001F37ED" w:rsidTr="00656682">
        <w:trPr>
          <w:trHeight w:val="310"/>
        </w:trPr>
        <w:tc>
          <w:tcPr>
            <w:tcW w:w="34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en-US"/>
              </w:rPr>
            </w:pPr>
            <w:r w:rsidRPr="00656682">
              <w:rPr>
                <w:rFonts w:ascii="Arial" w:eastAsia="Times New Roman" w:hAnsi="Arial" w:cs="Arial"/>
                <w:bCs/>
                <w:lang w:val="ru"/>
              </w:rPr>
              <w:t>Полученные кредитные средства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en-US"/>
              </w:rPr>
            </w:pPr>
            <w:r w:rsidRPr="00656682">
              <w:rPr>
                <w:rFonts w:ascii="Arial" w:eastAsia="Times New Roman" w:hAnsi="Arial" w:cs="Arial"/>
                <w:bCs/>
                <w:lang w:val="ru"/>
              </w:rPr>
              <w:t>9 256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en-US"/>
              </w:rPr>
            </w:pPr>
            <w:r w:rsidRPr="00656682">
              <w:rPr>
                <w:rFonts w:ascii="Arial" w:eastAsia="Times New Roman" w:hAnsi="Arial" w:cs="Arial"/>
                <w:bCs/>
                <w:lang w:val="ru"/>
              </w:rPr>
              <w:t>12 160</w:t>
            </w:r>
          </w:p>
        </w:tc>
      </w:tr>
      <w:tr w:rsidR="001F37ED" w:rsidTr="00656682">
        <w:trPr>
          <w:trHeight w:val="310"/>
        </w:trPr>
        <w:tc>
          <w:tcPr>
            <w:tcW w:w="34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en-US"/>
              </w:rPr>
            </w:pPr>
            <w:r w:rsidRPr="00656682">
              <w:rPr>
                <w:rFonts w:ascii="Arial" w:eastAsia="Times New Roman" w:hAnsi="Arial" w:cs="Arial"/>
                <w:bCs/>
                <w:lang w:val="ru"/>
              </w:rPr>
              <w:t>Выданные кредитные средства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en-US"/>
              </w:rPr>
            </w:pPr>
            <w:r w:rsidRPr="00656682">
              <w:rPr>
                <w:rFonts w:ascii="Arial" w:eastAsia="Times New Roman" w:hAnsi="Arial" w:cs="Arial"/>
                <w:bCs/>
                <w:lang w:val="ru"/>
              </w:rPr>
              <w:t>-9 932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en-US"/>
              </w:rPr>
            </w:pPr>
            <w:r w:rsidRPr="00656682">
              <w:rPr>
                <w:rFonts w:ascii="Arial" w:eastAsia="Times New Roman" w:hAnsi="Arial" w:cs="Arial"/>
                <w:bCs/>
                <w:lang w:val="ru"/>
              </w:rPr>
              <w:t>-17 784</w:t>
            </w:r>
          </w:p>
        </w:tc>
      </w:tr>
      <w:tr w:rsidR="001F37ED" w:rsidTr="00656682">
        <w:trPr>
          <w:trHeight w:val="310"/>
        </w:trPr>
        <w:tc>
          <w:tcPr>
            <w:tcW w:w="34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8567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/>
                <w:bCs/>
                <w:lang w:val="ru-RU"/>
              </w:rPr>
            </w:pPr>
            <w:r w:rsidRPr="00656682">
              <w:rPr>
                <w:rFonts w:ascii="Arial" w:eastAsia="Times New Roman" w:hAnsi="Arial" w:cs="Arial"/>
                <w:b/>
                <w:bCs/>
                <w:lang w:val="ru"/>
              </w:rPr>
              <w:lastRenderedPageBreak/>
              <w:t>Чистые денежные средства, использованные в инвестиционной деятельности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656682">
              <w:rPr>
                <w:rFonts w:ascii="Arial" w:eastAsia="Times New Roman" w:hAnsi="Arial" w:cs="Arial"/>
                <w:b/>
                <w:bCs/>
                <w:lang w:val="ru"/>
              </w:rPr>
              <w:t>-13 241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656682">
              <w:rPr>
                <w:rFonts w:ascii="Arial" w:eastAsia="Times New Roman" w:hAnsi="Arial" w:cs="Arial"/>
                <w:b/>
                <w:bCs/>
                <w:lang w:val="ru"/>
              </w:rPr>
              <w:t>-10 425</w:t>
            </w:r>
          </w:p>
        </w:tc>
      </w:tr>
      <w:tr w:rsidR="001F37ED" w:rsidRPr="00147AAF" w:rsidTr="00656682">
        <w:trPr>
          <w:trHeight w:val="310"/>
        </w:trPr>
        <w:tc>
          <w:tcPr>
            <w:tcW w:w="34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8567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/>
                <w:bCs/>
                <w:lang w:val="ru-RU"/>
              </w:rPr>
            </w:pPr>
            <w:r w:rsidRPr="00656682">
              <w:rPr>
                <w:rFonts w:ascii="Arial" w:eastAsia="Times New Roman" w:hAnsi="Arial" w:cs="Arial"/>
                <w:b/>
                <w:bCs/>
                <w:lang w:val="ru"/>
              </w:rPr>
              <w:t>Денежные потоки от финансовой деятельности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85672" w:rsidRDefault="00656682" w:rsidP="00656682">
            <w:pPr>
              <w:spacing w:after="0" w:line="24" w:lineRule="atLeast"/>
              <w:rPr>
                <w:rFonts w:ascii="Arial" w:eastAsia="Times New Roman" w:hAnsi="Arial" w:cs="Arial"/>
                <w:b/>
                <w:bCs/>
                <w:lang w:val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85672" w:rsidRDefault="00656682" w:rsidP="00656682">
            <w:pPr>
              <w:spacing w:after="0" w:line="24" w:lineRule="atLeast"/>
              <w:rPr>
                <w:rFonts w:ascii="Arial" w:eastAsia="Times New Roman" w:hAnsi="Arial" w:cs="Arial"/>
                <w:b/>
                <w:bCs/>
                <w:lang w:val="ru-RU"/>
              </w:rPr>
            </w:pPr>
          </w:p>
        </w:tc>
      </w:tr>
      <w:tr w:rsidR="001F37ED" w:rsidTr="00656682">
        <w:trPr>
          <w:trHeight w:val="310"/>
        </w:trPr>
        <w:tc>
          <w:tcPr>
            <w:tcW w:w="34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en-US"/>
              </w:rPr>
            </w:pPr>
            <w:r w:rsidRPr="00656682">
              <w:rPr>
                <w:rFonts w:ascii="Arial" w:eastAsia="Times New Roman" w:hAnsi="Arial" w:cs="Arial"/>
                <w:bCs/>
                <w:lang w:val="ru"/>
              </w:rPr>
              <w:t>Выплаты по займам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en-US"/>
              </w:rPr>
            </w:pPr>
            <w:r w:rsidRPr="00656682">
              <w:rPr>
                <w:rFonts w:ascii="Arial" w:eastAsia="Times New Roman" w:hAnsi="Arial" w:cs="Arial"/>
                <w:bCs/>
                <w:lang w:val="ru"/>
              </w:rPr>
              <w:t>-54 853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en-US"/>
              </w:rPr>
            </w:pPr>
            <w:r w:rsidRPr="00656682">
              <w:rPr>
                <w:rFonts w:ascii="Arial" w:eastAsia="Times New Roman" w:hAnsi="Arial" w:cs="Arial"/>
                <w:bCs/>
                <w:lang w:val="ru"/>
              </w:rPr>
              <w:t>-468 527</w:t>
            </w:r>
          </w:p>
        </w:tc>
      </w:tr>
      <w:tr w:rsidR="001F37ED" w:rsidTr="00656682">
        <w:trPr>
          <w:trHeight w:val="310"/>
        </w:trPr>
        <w:tc>
          <w:tcPr>
            <w:tcW w:w="34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en-US"/>
              </w:rPr>
            </w:pPr>
            <w:r w:rsidRPr="00656682">
              <w:rPr>
                <w:rFonts w:ascii="Arial" w:eastAsia="Times New Roman" w:hAnsi="Arial" w:cs="Arial"/>
                <w:bCs/>
                <w:lang w:val="ru"/>
              </w:rPr>
              <w:t>Поступления по займам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en-US"/>
              </w:rPr>
            </w:pPr>
            <w:r w:rsidRPr="00656682">
              <w:rPr>
                <w:rFonts w:ascii="Arial" w:eastAsia="Times New Roman" w:hAnsi="Arial" w:cs="Arial"/>
                <w:bCs/>
                <w:lang w:val="ru"/>
              </w:rPr>
              <w:t>70 676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en-US"/>
              </w:rPr>
            </w:pPr>
            <w:r w:rsidRPr="00656682">
              <w:rPr>
                <w:rFonts w:ascii="Arial" w:eastAsia="Times New Roman" w:hAnsi="Arial" w:cs="Arial"/>
                <w:bCs/>
                <w:lang w:val="ru"/>
              </w:rPr>
              <w:t>517 470</w:t>
            </w:r>
          </w:p>
        </w:tc>
      </w:tr>
      <w:tr w:rsidR="001F37ED" w:rsidTr="00656682">
        <w:trPr>
          <w:trHeight w:val="310"/>
        </w:trPr>
        <w:tc>
          <w:tcPr>
            <w:tcW w:w="34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8567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ru-RU"/>
              </w:rPr>
            </w:pPr>
            <w:r w:rsidRPr="00656682">
              <w:rPr>
                <w:rFonts w:ascii="Arial" w:eastAsia="Times New Roman" w:hAnsi="Arial" w:cs="Arial"/>
                <w:bCs/>
                <w:lang w:val="ru"/>
              </w:rPr>
              <w:t>Оборот денежных средств по овердрафтам и возобновляемым кредитным линиям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en-US"/>
              </w:rPr>
            </w:pPr>
            <w:r w:rsidRPr="00656682">
              <w:rPr>
                <w:rFonts w:ascii="Arial" w:eastAsia="Times New Roman" w:hAnsi="Arial" w:cs="Arial"/>
                <w:bCs/>
                <w:lang w:val="ru"/>
              </w:rPr>
              <w:t>5 145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en-US"/>
              </w:rPr>
            </w:pPr>
            <w:r w:rsidRPr="00656682">
              <w:rPr>
                <w:rFonts w:ascii="Arial" w:eastAsia="Times New Roman" w:hAnsi="Arial" w:cs="Arial"/>
                <w:bCs/>
                <w:lang w:val="ru"/>
              </w:rPr>
              <w:t>8 150</w:t>
            </w:r>
          </w:p>
        </w:tc>
      </w:tr>
      <w:tr w:rsidR="001F37ED" w:rsidTr="00656682">
        <w:trPr>
          <w:trHeight w:val="310"/>
        </w:trPr>
        <w:tc>
          <w:tcPr>
            <w:tcW w:w="34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en-US"/>
              </w:rPr>
            </w:pPr>
            <w:r w:rsidRPr="00656682">
              <w:rPr>
                <w:rFonts w:ascii="Arial" w:eastAsia="Times New Roman" w:hAnsi="Arial" w:cs="Arial"/>
                <w:bCs/>
                <w:lang w:val="ru"/>
              </w:rPr>
              <w:t>Платежи по финансовому лизингу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en-US"/>
              </w:rPr>
            </w:pPr>
            <w:r w:rsidRPr="00656682">
              <w:rPr>
                <w:rFonts w:ascii="Arial" w:eastAsia="Times New Roman" w:hAnsi="Arial" w:cs="Arial"/>
                <w:bCs/>
                <w:lang w:val="ru"/>
              </w:rPr>
              <w:t>-1 212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en-US"/>
              </w:rPr>
            </w:pPr>
            <w:r w:rsidRPr="00656682">
              <w:rPr>
                <w:rFonts w:ascii="Arial" w:eastAsia="Times New Roman" w:hAnsi="Arial" w:cs="Arial"/>
                <w:bCs/>
                <w:lang w:val="ru"/>
              </w:rPr>
              <w:t>-5 037</w:t>
            </w:r>
          </w:p>
        </w:tc>
      </w:tr>
      <w:tr w:rsidR="001F37ED" w:rsidTr="00656682">
        <w:trPr>
          <w:trHeight w:val="310"/>
        </w:trPr>
        <w:tc>
          <w:tcPr>
            <w:tcW w:w="34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8567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ru-RU"/>
              </w:rPr>
            </w:pPr>
            <w:r w:rsidRPr="00656682">
              <w:rPr>
                <w:rFonts w:ascii="Arial" w:eastAsia="Times New Roman" w:hAnsi="Arial" w:cs="Arial"/>
                <w:bCs/>
                <w:lang w:val="ru"/>
              </w:rPr>
              <w:t>Выплаченные проценты (займы и финансовый лизинг для внутреннего использования)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en-US"/>
              </w:rPr>
            </w:pPr>
            <w:r w:rsidRPr="00656682">
              <w:rPr>
                <w:rFonts w:ascii="Arial" w:eastAsia="Times New Roman" w:hAnsi="Arial" w:cs="Arial"/>
                <w:bCs/>
                <w:lang w:val="ru"/>
              </w:rPr>
              <w:t>-1 155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en-US"/>
              </w:rPr>
            </w:pPr>
            <w:r w:rsidRPr="00656682">
              <w:rPr>
                <w:rFonts w:ascii="Arial" w:eastAsia="Times New Roman" w:hAnsi="Arial" w:cs="Arial"/>
                <w:bCs/>
                <w:lang w:val="ru"/>
              </w:rPr>
              <w:t>-7 821</w:t>
            </w:r>
          </w:p>
        </w:tc>
      </w:tr>
      <w:tr w:rsidR="001F37ED" w:rsidTr="00656682">
        <w:trPr>
          <w:trHeight w:val="310"/>
        </w:trPr>
        <w:tc>
          <w:tcPr>
            <w:tcW w:w="34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en-US"/>
              </w:rPr>
            </w:pPr>
            <w:r w:rsidRPr="00656682">
              <w:rPr>
                <w:rFonts w:ascii="Arial" w:eastAsia="Times New Roman" w:hAnsi="Arial" w:cs="Arial"/>
                <w:bCs/>
                <w:lang w:val="ru"/>
              </w:rPr>
              <w:t>Выкуп акций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en-US"/>
              </w:rPr>
            </w:pPr>
            <w:r w:rsidRPr="00656682">
              <w:rPr>
                <w:rFonts w:ascii="Arial" w:eastAsia="Times New Roman" w:hAnsi="Arial" w:cs="Arial"/>
                <w:bCs/>
                <w:lang w:val="ru"/>
              </w:rPr>
              <w:t>0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en-US"/>
              </w:rPr>
            </w:pPr>
            <w:r w:rsidRPr="00656682">
              <w:rPr>
                <w:rFonts w:ascii="Arial" w:eastAsia="Times New Roman" w:hAnsi="Arial" w:cs="Arial"/>
                <w:bCs/>
                <w:lang w:val="ru"/>
              </w:rPr>
              <w:t>-2 476</w:t>
            </w:r>
          </w:p>
        </w:tc>
      </w:tr>
      <w:tr w:rsidR="001F37ED" w:rsidTr="00656682">
        <w:trPr>
          <w:trHeight w:val="310"/>
        </w:trPr>
        <w:tc>
          <w:tcPr>
            <w:tcW w:w="34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en-US"/>
              </w:rPr>
            </w:pPr>
            <w:r w:rsidRPr="00656682">
              <w:rPr>
                <w:rFonts w:ascii="Arial" w:eastAsia="Times New Roman" w:hAnsi="Arial" w:cs="Arial"/>
                <w:bCs/>
                <w:lang w:val="ru"/>
              </w:rPr>
              <w:t>Выплаченные дивиденды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en-US"/>
              </w:rPr>
            </w:pPr>
            <w:r w:rsidRPr="00656682">
              <w:rPr>
                <w:rFonts w:ascii="Arial" w:eastAsia="Times New Roman" w:hAnsi="Arial" w:cs="Arial"/>
                <w:bCs/>
                <w:lang w:val="ru"/>
              </w:rPr>
              <w:t>-619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en-US"/>
              </w:rPr>
            </w:pPr>
            <w:r w:rsidRPr="00656682">
              <w:rPr>
                <w:rFonts w:ascii="Arial" w:eastAsia="Times New Roman" w:hAnsi="Arial" w:cs="Arial"/>
                <w:bCs/>
                <w:lang w:val="ru"/>
              </w:rPr>
              <w:t>0</w:t>
            </w:r>
          </w:p>
        </w:tc>
      </w:tr>
      <w:tr w:rsidR="001F37ED" w:rsidTr="00656682">
        <w:trPr>
          <w:trHeight w:val="310"/>
        </w:trPr>
        <w:tc>
          <w:tcPr>
            <w:tcW w:w="34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8567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/>
                <w:bCs/>
                <w:lang w:val="ru-RU"/>
              </w:rPr>
            </w:pPr>
            <w:r w:rsidRPr="00656682">
              <w:rPr>
                <w:rFonts w:ascii="Arial" w:eastAsia="Times New Roman" w:hAnsi="Arial" w:cs="Arial"/>
                <w:b/>
                <w:bCs/>
                <w:lang w:val="ru"/>
              </w:rPr>
              <w:t>Чистые денежные средства, использованные в финансовой деятельности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656682">
              <w:rPr>
                <w:rFonts w:ascii="Arial" w:eastAsia="Times New Roman" w:hAnsi="Arial" w:cs="Arial"/>
                <w:b/>
                <w:bCs/>
                <w:lang w:val="ru"/>
              </w:rPr>
              <w:t>17 982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656682">
              <w:rPr>
                <w:rFonts w:ascii="Arial" w:eastAsia="Times New Roman" w:hAnsi="Arial" w:cs="Arial"/>
                <w:b/>
                <w:bCs/>
                <w:lang w:val="ru"/>
              </w:rPr>
              <w:t>41 760</w:t>
            </w:r>
          </w:p>
        </w:tc>
      </w:tr>
      <w:tr w:rsidR="001F37ED" w:rsidTr="00656682">
        <w:trPr>
          <w:trHeight w:val="310"/>
        </w:trPr>
        <w:tc>
          <w:tcPr>
            <w:tcW w:w="34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en-US"/>
              </w:rPr>
            </w:pPr>
            <w:r w:rsidRPr="00656682">
              <w:rPr>
                <w:rFonts w:ascii="Arial" w:eastAsia="Times New Roman" w:hAnsi="Arial" w:cs="Arial"/>
                <w:bCs/>
                <w:lang w:val="ru"/>
              </w:rPr>
              <w:t>Курсовая разница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en-US"/>
              </w:rPr>
            </w:pPr>
            <w:r w:rsidRPr="00656682">
              <w:rPr>
                <w:rFonts w:ascii="Arial" w:eastAsia="Times New Roman" w:hAnsi="Arial" w:cs="Arial"/>
                <w:bCs/>
                <w:lang w:val="ru"/>
              </w:rPr>
              <w:t>-4 121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Cs/>
                <w:lang w:val="en-US"/>
              </w:rPr>
            </w:pPr>
            <w:r w:rsidRPr="00656682">
              <w:rPr>
                <w:rFonts w:ascii="Arial" w:eastAsia="Times New Roman" w:hAnsi="Arial" w:cs="Arial"/>
                <w:bCs/>
                <w:lang w:val="ru"/>
              </w:rPr>
              <w:t>-2 831</w:t>
            </w:r>
          </w:p>
        </w:tc>
      </w:tr>
      <w:tr w:rsidR="001F37ED" w:rsidTr="00656682">
        <w:trPr>
          <w:trHeight w:val="310"/>
        </w:trPr>
        <w:tc>
          <w:tcPr>
            <w:tcW w:w="34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8567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/>
                <w:bCs/>
                <w:lang w:val="ru-RU"/>
              </w:rPr>
            </w:pPr>
            <w:r w:rsidRPr="00656682">
              <w:rPr>
                <w:rFonts w:ascii="Arial" w:eastAsia="Times New Roman" w:hAnsi="Arial" w:cs="Arial"/>
                <w:b/>
                <w:bCs/>
                <w:lang w:val="ru"/>
              </w:rPr>
              <w:t>Чистое увеличение/(уменьшение) денежных средств и их эквивалентов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656682">
              <w:rPr>
                <w:rFonts w:ascii="Arial" w:eastAsia="Times New Roman" w:hAnsi="Arial" w:cs="Arial"/>
                <w:b/>
                <w:bCs/>
                <w:lang w:val="ru"/>
              </w:rPr>
              <w:t>-63 106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682" w:rsidRPr="00656682" w:rsidRDefault="00C26BB2" w:rsidP="00656682">
            <w:pPr>
              <w:spacing w:after="0" w:line="24" w:lineRule="atLeas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656682">
              <w:rPr>
                <w:rFonts w:ascii="Arial" w:eastAsia="Times New Roman" w:hAnsi="Arial" w:cs="Arial"/>
                <w:b/>
                <w:bCs/>
                <w:lang w:val="ru"/>
              </w:rPr>
              <w:t>-31 969</w:t>
            </w:r>
          </w:p>
        </w:tc>
      </w:tr>
    </w:tbl>
    <w:p w:rsidR="00656682" w:rsidRPr="00AE36D0" w:rsidRDefault="00656682" w:rsidP="00AE36D0">
      <w:pPr>
        <w:spacing w:after="0" w:line="24" w:lineRule="atLeast"/>
        <w:rPr>
          <w:rFonts w:ascii="Arial" w:eastAsia="Times New Roman" w:hAnsi="Arial" w:cs="Arial"/>
          <w:bCs/>
          <w:highlight w:val="yellow"/>
        </w:rPr>
      </w:pPr>
    </w:p>
    <w:p w:rsidR="00AE36D0" w:rsidRPr="00AE36D0" w:rsidRDefault="00AE36D0" w:rsidP="00AE36D0">
      <w:pPr>
        <w:spacing w:after="0" w:line="24" w:lineRule="atLeast"/>
        <w:rPr>
          <w:rFonts w:ascii="Arial" w:eastAsia="Times New Roman" w:hAnsi="Arial" w:cs="Arial"/>
          <w:bCs/>
          <w:highlight w:val="yellow"/>
        </w:rPr>
      </w:pPr>
    </w:p>
    <w:p w:rsidR="00AE36D0" w:rsidRPr="00AE36D0" w:rsidRDefault="00AE36D0" w:rsidP="00AE36D0">
      <w:pPr>
        <w:spacing w:after="0" w:line="24" w:lineRule="atLeast"/>
        <w:rPr>
          <w:rFonts w:ascii="Arial" w:eastAsia="Times New Roman" w:hAnsi="Arial" w:cs="Arial"/>
          <w:bCs/>
          <w:highlight w:val="yellow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82"/>
        <w:gridCol w:w="672"/>
        <w:gridCol w:w="1972"/>
        <w:gridCol w:w="672"/>
        <w:gridCol w:w="1968"/>
      </w:tblGrid>
      <w:tr w:rsidR="001F37ED" w:rsidTr="00656682">
        <w:trPr>
          <w:trHeight w:val="96"/>
          <w:tblHeader/>
        </w:trPr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"/>
              </w:rPr>
              <w:t>тыс. долл.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"/>
              </w:rPr>
              <w:t>неаудированные данные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"/>
              </w:rPr>
              <w:t>неаудированные данные</w:t>
            </w:r>
          </w:p>
        </w:tc>
      </w:tr>
      <w:tr w:rsidR="001F37ED" w:rsidTr="00656682">
        <w:trPr>
          <w:trHeight w:val="96"/>
          <w:tblHeader/>
        </w:trPr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 w:themeFill="accent1" w:themeFillShade="80"/>
          </w:tcPr>
          <w:p w:rsidR="00656682" w:rsidRPr="00656682" w:rsidRDefault="00C2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ru-RU"/>
              </w:rPr>
            </w:pPr>
            <w:r w:rsidRPr="0065668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ru"/>
              </w:rPr>
              <w:t xml:space="preserve"> Балансовый отчет Группы компаний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</w:tcPr>
          <w:p w:rsidR="00656682" w:rsidRP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1F3864" w:themeFill="accent1" w:themeFillShade="80"/>
          </w:tcPr>
          <w:p w:rsidR="00656682" w:rsidRP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656682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"/>
              </w:rPr>
              <w:t xml:space="preserve"> 30 сентября 2022 г. </w:t>
            </w:r>
          </w:p>
        </w:tc>
        <w:tc>
          <w:tcPr>
            <w:tcW w:w="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 w:themeFill="accent1" w:themeFillShade="80"/>
          </w:tcPr>
          <w:p w:rsidR="00656682" w:rsidRP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656682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"/>
              </w:rPr>
              <w:t xml:space="preserve"> 30 сентября 2021 г. </w:t>
            </w:r>
          </w:p>
        </w:tc>
      </w:tr>
      <w:tr w:rsidR="001F37ED" w:rsidTr="00656682">
        <w:trPr>
          <w:trHeight w:val="96"/>
        </w:trPr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6682" w:rsidRPr="00656682" w:rsidRDefault="006566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P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ru-RU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6682" w:rsidRP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P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ru-RU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</w:tcPr>
          <w:p w:rsidR="00656682" w:rsidRP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ru-RU"/>
              </w:rPr>
            </w:pPr>
          </w:p>
        </w:tc>
      </w:tr>
      <w:tr w:rsidR="001F37ED" w:rsidTr="00656682">
        <w:trPr>
          <w:trHeight w:val="439"/>
        </w:trPr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>Репутационные активы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122 943  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75 685   </w:t>
            </w:r>
          </w:p>
        </w:tc>
      </w:tr>
      <w:tr w:rsidR="001F37ED" w:rsidTr="00656682">
        <w:trPr>
          <w:trHeight w:val="264"/>
        </w:trPr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>Отложенные налоговые активы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7 914  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9 492   </w:t>
            </w:r>
          </w:p>
        </w:tc>
      </w:tr>
      <w:tr w:rsidR="001F37ED" w:rsidTr="00656682">
        <w:trPr>
          <w:trHeight w:val="350"/>
        </w:trPr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>Нематериальные активы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47 272  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57 215   </w:t>
            </w:r>
          </w:p>
        </w:tc>
      </w:tr>
      <w:tr w:rsidR="001F37ED" w:rsidTr="00656682">
        <w:trPr>
          <w:trHeight w:val="175"/>
        </w:trPr>
        <w:tc>
          <w:tcPr>
            <w:tcW w:w="27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6682" w:rsidRPr="00656682" w:rsidRDefault="00C2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56682"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>Основные средства, нетто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6 086  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11 714   </w:t>
            </w:r>
          </w:p>
        </w:tc>
      </w:tr>
      <w:tr w:rsidR="001F37ED" w:rsidTr="00656682">
        <w:trPr>
          <w:trHeight w:val="175"/>
        </w:trPr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>Права на арендуемые активы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4 450  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12 044   </w:t>
            </w:r>
          </w:p>
        </w:tc>
      </w:tr>
      <w:tr w:rsidR="001F37ED" w:rsidTr="00EA0A04">
        <w:trPr>
          <w:trHeight w:val="68"/>
        </w:trPr>
        <w:tc>
          <w:tcPr>
            <w:tcW w:w="27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6682" w:rsidRPr="00685672" w:rsidRDefault="00C2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656682"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>Инвестиции в дочерние и совместные предприятия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656682"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                           805  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                             96   </w:t>
            </w:r>
          </w:p>
        </w:tc>
      </w:tr>
      <w:tr w:rsidR="001F37ED" w:rsidTr="00656682">
        <w:trPr>
          <w:trHeight w:val="175"/>
        </w:trPr>
        <w:tc>
          <w:tcPr>
            <w:tcW w:w="27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6682" w:rsidRPr="00685672" w:rsidRDefault="00C2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656682"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>Финансовые активы, имеющиеся в наличии для продажи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656682"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                                 -  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94 402   </w:t>
            </w:r>
          </w:p>
        </w:tc>
      </w:tr>
      <w:tr w:rsidR="001F37ED" w:rsidTr="00656682">
        <w:trPr>
          <w:trHeight w:val="96"/>
        </w:trPr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>Долгосрочные депозиты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                           471  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                             63   </w:t>
            </w:r>
          </w:p>
        </w:tc>
      </w:tr>
      <w:tr w:rsidR="001F37ED" w:rsidTr="00656682">
        <w:trPr>
          <w:trHeight w:val="439"/>
        </w:trPr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>Выданные долгосрочные кредиты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7 183  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3 039   </w:t>
            </w:r>
          </w:p>
        </w:tc>
      </w:tr>
      <w:tr w:rsidR="001F37ED" w:rsidTr="00656682">
        <w:trPr>
          <w:trHeight w:val="264"/>
        </w:trPr>
        <w:tc>
          <w:tcPr>
            <w:tcW w:w="2476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Прочие внеоборотные активы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16 120  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3 385   </w:t>
            </w:r>
          </w:p>
        </w:tc>
      </w:tr>
      <w:tr w:rsidR="001F37ED" w:rsidTr="00656682">
        <w:trPr>
          <w:trHeight w:val="96"/>
        </w:trPr>
        <w:tc>
          <w:tcPr>
            <w:tcW w:w="2476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"/>
              </w:rPr>
              <w:t>Внеоборотные активы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4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"/>
              </w:rPr>
              <w:t xml:space="preserve">213 245  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4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"/>
              </w:rPr>
              <w:t xml:space="preserve">267 134   </w:t>
            </w:r>
          </w:p>
        </w:tc>
      </w:tr>
      <w:tr w:rsidR="001F37ED" w:rsidTr="00656682">
        <w:trPr>
          <w:trHeight w:val="96"/>
        </w:trPr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FFFF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  <w:lang w:val="ru"/>
              </w:rPr>
              <w:t xml:space="preserve">                        3 875  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ru"/>
              </w:rPr>
              <w:t xml:space="preserve">                                 -   </w:t>
            </w:r>
          </w:p>
        </w:tc>
      </w:tr>
      <w:tr w:rsidR="001F37ED" w:rsidTr="00656682">
        <w:trPr>
          <w:trHeight w:val="96"/>
        </w:trPr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>Выданные авансы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5 082  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18 497   </w:t>
            </w:r>
          </w:p>
        </w:tc>
      </w:tr>
      <w:tr w:rsidR="001F37ED" w:rsidTr="00656682">
        <w:trPr>
          <w:trHeight w:val="96"/>
        </w:trPr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>Прочие оборотные активы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16 200  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9 252   </w:t>
            </w:r>
          </w:p>
        </w:tc>
      </w:tr>
      <w:tr w:rsidR="001F37ED" w:rsidTr="00656682">
        <w:trPr>
          <w:trHeight w:val="96"/>
        </w:trPr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>Дебиторская задолженность по подоходному налогу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5 356  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7 210   </w:t>
            </w:r>
          </w:p>
        </w:tc>
      </w:tr>
      <w:tr w:rsidR="001F37ED" w:rsidTr="00656682">
        <w:trPr>
          <w:trHeight w:val="96"/>
        </w:trPr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>Запасы, нетто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13 696  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37 016   </w:t>
            </w:r>
          </w:p>
        </w:tc>
      </w:tr>
      <w:tr w:rsidR="001F37ED" w:rsidTr="00656682">
        <w:trPr>
          <w:trHeight w:val="96"/>
        </w:trPr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>Прочая дебиторская задолженность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41 187  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44 173   </w:t>
            </w:r>
          </w:p>
        </w:tc>
      </w:tr>
      <w:tr w:rsidR="001F37ED" w:rsidTr="00656682">
        <w:trPr>
          <w:trHeight w:val="264"/>
        </w:trPr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>Торговая дебиторская задолженность, нетто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209 122  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248 104   </w:t>
            </w:r>
          </w:p>
        </w:tc>
      </w:tr>
      <w:tr w:rsidR="001F37ED" w:rsidTr="00656682">
        <w:trPr>
          <w:trHeight w:val="439"/>
        </w:trPr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>Выданные кредитные средства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1 154  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5 920   </w:t>
            </w:r>
          </w:p>
        </w:tc>
      </w:tr>
      <w:tr w:rsidR="001F37ED" w:rsidTr="00656682">
        <w:trPr>
          <w:trHeight w:val="175"/>
        </w:trPr>
        <w:tc>
          <w:tcPr>
            <w:tcW w:w="27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>Денежные средства и их эквиваленты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221 625  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57 646   </w:t>
            </w:r>
          </w:p>
        </w:tc>
      </w:tr>
      <w:tr w:rsidR="001F37ED" w:rsidTr="00656682">
        <w:trPr>
          <w:trHeight w:val="96"/>
        </w:trPr>
        <w:tc>
          <w:tcPr>
            <w:tcW w:w="2476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>Активы, предназначенные для продажи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462 550  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1F37ED" w:rsidTr="00656682">
        <w:trPr>
          <w:trHeight w:val="96"/>
        </w:trPr>
        <w:tc>
          <w:tcPr>
            <w:tcW w:w="2476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"/>
              </w:rPr>
              <w:t>Текущие активы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"/>
              </w:rPr>
              <w:t xml:space="preserve">975 971  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"/>
              </w:rPr>
              <w:t xml:space="preserve">427 818   </w:t>
            </w:r>
          </w:p>
        </w:tc>
      </w:tr>
      <w:tr w:rsidR="001F37ED" w:rsidTr="00656682">
        <w:trPr>
          <w:trHeight w:val="96"/>
        </w:trPr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FFFF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  <w:lang w:val="ru"/>
              </w:rPr>
              <w:lastRenderedPageBreak/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FFFF"/>
                <w:sz w:val="16"/>
                <w:szCs w:val="16"/>
                <w:lang w:val="ru-RU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FFFF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  <w:lang w:val="ru"/>
              </w:rPr>
              <w:t xml:space="preserve">-                      3 875  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FFFF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  <w:lang w:val="ru"/>
              </w:rPr>
              <w:t xml:space="preserve">                                 -   </w:t>
            </w:r>
          </w:p>
        </w:tc>
      </w:tr>
      <w:tr w:rsidR="001F37ED" w:rsidTr="00656682">
        <w:trPr>
          <w:trHeight w:val="101"/>
        </w:trPr>
        <w:tc>
          <w:tcPr>
            <w:tcW w:w="2476" w:type="pct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"/>
              </w:rPr>
              <w:t>ИТОГО, АКТИВЫ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42" w:type="pct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"/>
              </w:rPr>
              <w:t xml:space="preserve">1 189 216  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40" w:type="pct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"/>
              </w:rPr>
              <w:t xml:space="preserve">694 952   </w:t>
            </w:r>
          </w:p>
        </w:tc>
      </w:tr>
      <w:tr w:rsidR="001F37ED" w:rsidTr="00656682">
        <w:trPr>
          <w:trHeight w:val="101"/>
        </w:trPr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1F37ED" w:rsidTr="00656682">
        <w:trPr>
          <w:trHeight w:val="96"/>
        </w:trPr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"/>
              </w:rPr>
              <w:t>Собственный капитал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1F37ED" w:rsidTr="00EA0A04">
        <w:trPr>
          <w:trHeight w:val="233"/>
        </w:trPr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>Акционерный капитал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                           44  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30   </w:t>
            </w:r>
          </w:p>
        </w:tc>
      </w:tr>
      <w:tr w:rsidR="001F37ED" w:rsidTr="00EA0A04">
        <w:trPr>
          <w:trHeight w:val="68"/>
        </w:trPr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>Нераспределенная прибыль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65 474  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14 678   </w:t>
            </w:r>
          </w:p>
        </w:tc>
      </w:tr>
      <w:tr w:rsidR="001F37ED" w:rsidTr="00656682">
        <w:trPr>
          <w:trHeight w:val="96"/>
        </w:trPr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>Вклад владельца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14 259  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14 260   </w:t>
            </w:r>
          </w:p>
        </w:tc>
      </w:tr>
      <w:tr w:rsidR="001F37ED" w:rsidTr="00656682">
        <w:trPr>
          <w:trHeight w:val="878"/>
        </w:trPr>
        <w:tc>
          <w:tcPr>
            <w:tcW w:w="27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>Другие компоненты собственного капитала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383 948  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На 50%   </w:t>
            </w:r>
          </w:p>
        </w:tc>
      </w:tr>
      <w:tr w:rsidR="001F37ED" w:rsidTr="00656682">
        <w:trPr>
          <w:trHeight w:val="264"/>
        </w:trPr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>Собственные акции на балансе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6682" w:rsidRDefault="00C26BB2" w:rsidP="00EA0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-    </w:t>
            </w:r>
            <w:r w:rsidR="001F4188"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7 198  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80808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ru"/>
              </w:rPr>
              <w:t xml:space="preserve">-   </w:t>
            </w:r>
          </w:p>
        </w:tc>
      </w:tr>
      <w:tr w:rsidR="001F37ED" w:rsidTr="00656682">
        <w:trPr>
          <w:trHeight w:val="175"/>
        </w:trPr>
        <w:tc>
          <w:tcPr>
            <w:tcW w:w="27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>Прочий совокупный доход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6682" w:rsidRDefault="001F4188" w:rsidP="00EA0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 -        98 702  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37 296   </w:t>
            </w:r>
          </w:p>
        </w:tc>
      </w:tr>
      <w:tr w:rsidR="001F37ED" w:rsidTr="00656682">
        <w:trPr>
          <w:trHeight w:val="96"/>
        </w:trPr>
        <w:tc>
          <w:tcPr>
            <w:tcW w:w="27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6682" w:rsidRPr="00685672" w:rsidRDefault="00C2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566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"/>
              </w:rPr>
              <w:t>Собственный капитал и активы, приходящиеся на владельцев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"/>
              </w:rPr>
              <w:t xml:space="preserve">357 826  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"/>
              </w:rPr>
              <w:t xml:space="preserve">65 396   </w:t>
            </w:r>
          </w:p>
        </w:tc>
      </w:tr>
      <w:tr w:rsidR="001F37ED" w:rsidTr="00656682">
        <w:trPr>
          <w:trHeight w:val="878"/>
        </w:trPr>
        <w:tc>
          <w:tcPr>
            <w:tcW w:w="2476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>Доля неконтролирующих акционеров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56682" w:rsidRDefault="00C26BB2" w:rsidP="00EA0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-          6 939  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6682" w:rsidRDefault="00C26BB2" w:rsidP="00EA0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-            6 342   </w:t>
            </w:r>
          </w:p>
        </w:tc>
      </w:tr>
      <w:tr w:rsidR="001F37ED" w:rsidTr="00656682">
        <w:trPr>
          <w:trHeight w:val="96"/>
        </w:trPr>
        <w:tc>
          <w:tcPr>
            <w:tcW w:w="2476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"/>
              </w:rPr>
              <w:t>Итого, собственный капитал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56682" w:rsidRDefault="00C26BB2" w:rsidP="00EA0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"/>
              </w:rPr>
              <w:t xml:space="preserve">      350 886  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56682" w:rsidRDefault="00C26BB2" w:rsidP="00EA0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"/>
              </w:rPr>
              <w:t xml:space="preserve">        59 054   </w:t>
            </w:r>
          </w:p>
        </w:tc>
      </w:tr>
      <w:tr w:rsidR="001F37ED" w:rsidTr="00656682">
        <w:trPr>
          <w:trHeight w:val="96"/>
        </w:trPr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FFFFFF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6"/>
                <w:szCs w:val="16"/>
                <w:lang w:val="ru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FFFF"/>
                <w:sz w:val="16"/>
                <w:szCs w:val="16"/>
                <w:lang w:val="ru-RU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FFFF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  <w:lang w:val="ru"/>
              </w:rPr>
              <w:t xml:space="preserve">                                 -  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FFFF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  <w:lang w:val="ru"/>
              </w:rPr>
              <w:t xml:space="preserve">                                 -   </w:t>
            </w:r>
          </w:p>
        </w:tc>
      </w:tr>
      <w:tr w:rsidR="001F37ED" w:rsidTr="00656682">
        <w:trPr>
          <w:trHeight w:val="175"/>
        </w:trPr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>Отложенные налоговые обязательства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3 795  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3 637   </w:t>
            </w:r>
          </w:p>
        </w:tc>
      </w:tr>
      <w:tr w:rsidR="001F37ED" w:rsidTr="00656682">
        <w:trPr>
          <w:trHeight w:val="439"/>
        </w:trPr>
        <w:tc>
          <w:tcPr>
            <w:tcW w:w="27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>Долгосрочные условные обязательства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25 938  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6 767   </w:t>
            </w:r>
          </w:p>
        </w:tc>
      </w:tr>
      <w:tr w:rsidR="001F37ED" w:rsidTr="00656682">
        <w:trPr>
          <w:trHeight w:val="175"/>
        </w:trPr>
        <w:tc>
          <w:tcPr>
            <w:tcW w:w="27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6682" w:rsidRPr="00685672" w:rsidRDefault="00C2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656682"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>Долгосрочные отсроченные платежи за сделки по поглощению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9 285  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9 241   </w:t>
            </w:r>
          </w:p>
        </w:tc>
      </w:tr>
      <w:tr w:rsidR="001F37ED" w:rsidTr="00656682">
        <w:trPr>
          <w:trHeight w:val="96"/>
        </w:trPr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>Долгосрочный налог, подлежащий уплате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                           786  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                           920   </w:t>
            </w:r>
          </w:p>
        </w:tc>
      </w:tr>
      <w:tr w:rsidR="001F37ED" w:rsidTr="00656682">
        <w:trPr>
          <w:trHeight w:val="350"/>
        </w:trPr>
        <w:tc>
          <w:tcPr>
            <w:tcW w:w="27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6682" w:rsidRPr="00656682" w:rsidRDefault="00C2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56682"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>Долгосрочные займы третьим сторонам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9 554  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88 239   </w:t>
            </w:r>
          </w:p>
        </w:tc>
      </w:tr>
      <w:tr w:rsidR="001F37ED" w:rsidTr="00656682">
        <w:trPr>
          <w:trHeight w:val="350"/>
        </w:trPr>
        <w:tc>
          <w:tcPr>
            <w:tcW w:w="27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6682" w:rsidRPr="00685672" w:rsidRDefault="00C2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656682"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>Долгосрочные обязательства по договорам финансового лизинга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2 724  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9 860   </w:t>
            </w:r>
          </w:p>
        </w:tc>
      </w:tr>
      <w:tr w:rsidR="001F37ED" w:rsidTr="00656682">
        <w:trPr>
          <w:trHeight w:val="96"/>
        </w:trPr>
        <w:tc>
          <w:tcPr>
            <w:tcW w:w="2476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>Другие долгосрочные кредитные обязательства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5 814  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801   </w:t>
            </w:r>
          </w:p>
        </w:tc>
      </w:tr>
      <w:tr w:rsidR="001F37ED" w:rsidTr="00656682">
        <w:trPr>
          <w:trHeight w:val="96"/>
        </w:trPr>
        <w:tc>
          <w:tcPr>
            <w:tcW w:w="2476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"/>
              </w:rPr>
              <w:t>Долгосрочные обязательства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"/>
              </w:rPr>
              <w:t xml:space="preserve">57 895  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"/>
              </w:rPr>
              <w:t xml:space="preserve">119 465   </w:t>
            </w:r>
          </w:p>
        </w:tc>
      </w:tr>
      <w:tr w:rsidR="001F37ED" w:rsidTr="00656682">
        <w:trPr>
          <w:trHeight w:val="96"/>
        </w:trPr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FFFFFF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16"/>
                <w:szCs w:val="16"/>
                <w:lang w:val="ru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FFFF"/>
                <w:sz w:val="16"/>
                <w:szCs w:val="16"/>
                <w:lang w:val="ru-RU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FFFF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  <w:lang w:val="ru"/>
              </w:rPr>
              <w:t xml:space="preserve">                                0  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FFFF"/>
                <w:sz w:val="20"/>
                <w:szCs w:val="20"/>
                <w:lang w:val="ru-RU"/>
              </w:rPr>
            </w:pPr>
          </w:p>
        </w:tc>
      </w:tr>
      <w:tr w:rsidR="001F37ED" w:rsidTr="00656682">
        <w:trPr>
          <w:trHeight w:val="526"/>
        </w:trPr>
        <w:tc>
          <w:tcPr>
            <w:tcW w:w="27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>Краткосрочные условные обязательства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20 616  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5 098   </w:t>
            </w:r>
          </w:p>
        </w:tc>
      </w:tr>
      <w:tr w:rsidR="001F37ED" w:rsidTr="00656682">
        <w:trPr>
          <w:trHeight w:val="350"/>
        </w:trPr>
        <w:tc>
          <w:tcPr>
            <w:tcW w:w="27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6682" w:rsidRPr="00685672" w:rsidRDefault="00C2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656682"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>Долгосрочные отсроченные платежи за сделки по поглощению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18 525  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15 736   </w:t>
            </w:r>
          </w:p>
        </w:tc>
      </w:tr>
      <w:tr w:rsidR="001F37ED" w:rsidTr="00656682">
        <w:trPr>
          <w:trHeight w:val="264"/>
        </w:trPr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>Авансы от клиентов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17 837  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43 518   </w:t>
            </w:r>
          </w:p>
        </w:tc>
      </w:tr>
      <w:tr w:rsidR="001F37ED" w:rsidTr="00656682">
        <w:trPr>
          <w:trHeight w:val="96"/>
        </w:trPr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>Подлежащий уплате подоходный налог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2 509  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3 494   </w:t>
            </w:r>
          </w:p>
        </w:tc>
      </w:tr>
      <w:tr w:rsidR="001F37ED" w:rsidTr="00656682">
        <w:trPr>
          <w:trHeight w:val="175"/>
        </w:trPr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>Прочая кредиторская задолженность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56 358  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49 529   </w:t>
            </w:r>
          </w:p>
        </w:tc>
      </w:tr>
      <w:tr w:rsidR="001F37ED" w:rsidTr="00656682">
        <w:trPr>
          <w:trHeight w:val="264"/>
        </w:trPr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>Торговая кредиторская задолженность, включая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167 643  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225 996   </w:t>
            </w:r>
          </w:p>
        </w:tc>
      </w:tr>
      <w:tr w:rsidR="001F37ED" w:rsidTr="00656682">
        <w:trPr>
          <w:trHeight w:val="350"/>
        </w:trPr>
        <w:tc>
          <w:tcPr>
            <w:tcW w:w="27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6682" w:rsidRPr="00685672" w:rsidRDefault="00C2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656682"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Краткосрочные обязательства по договорам финансового лизинга 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2 925  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4 923   </w:t>
            </w:r>
          </w:p>
        </w:tc>
      </w:tr>
      <w:tr w:rsidR="001F37ED" w:rsidTr="00656682">
        <w:trPr>
          <w:trHeight w:val="350"/>
        </w:trPr>
        <w:tc>
          <w:tcPr>
            <w:tcW w:w="27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6682" w:rsidRPr="00656682" w:rsidRDefault="00C2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56682"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>Краткосрочные займы третьим сторонам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47 414  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168 139   </w:t>
            </w:r>
          </w:p>
        </w:tc>
      </w:tr>
      <w:tr w:rsidR="001F37ED" w:rsidTr="00656682">
        <w:trPr>
          <w:trHeight w:val="96"/>
        </w:trPr>
        <w:tc>
          <w:tcPr>
            <w:tcW w:w="2797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56682" w:rsidRPr="00685672" w:rsidRDefault="00C2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656682"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>Обязательства, непосредственно связанные с активами, предназначенными для продажи</w:t>
            </w:r>
          </w:p>
        </w:tc>
        <w:tc>
          <w:tcPr>
            <w:tcW w:w="942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"/>
              </w:rPr>
              <w:t xml:space="preserve">446 607  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1F37ED" w:rsidTr="00656682">
        <w:trPr>
          <w:trHeight w:val="96"/>
        </w:trPr>
        <w:tc>
          <w:tcPr>
            <w:tcW w:w="2476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"/>
              </w:rPr>
              <w:t>Текущие обязательства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"/>
              </w:rPr>
              <w:t xml:space="preserve">780 435  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"/>
              </w:rPr>
              <w:t xml:space="preserve">516 433   </w:t>
            </w:r>
          </w:p>
        </w:tc>
      </w:tr>
      <w:tr w:rsidR="001F37ED" w:rsidTr="00656682">
        <w:trPr>
          <w:trHeight w:val="96"/>
        </w:trPr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FFFF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  <w:lang w:val="ru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FFFF"/>
                <w:sz w:val="16"/>
                <w:szCs w:val="16"/>
                <w:lang w:val="ru-RU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FFFF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  <w:lang w:val="ru"/>
              </w:rPr>
              <w:t xml:space="preserve">                                 -  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FFFF"/>
                <w:sz w:val="20"/>
                <w:szCs w:val="20"/>
                <w:lang w:val="ru-RU"/>
              </w:rPr>
            </w:pPr>
          </w:p>
        </w:tc>
      </w:tr>
      <w:tr w:rsidR="001F37ED" w:rsidTr="00656682">
        <w:trPr>
          <w:trHeight w:val="101"/>
        </w:trPr>
        <w:tc>
          <w:tcPr>
            <w:tcW w:w="2797" w:type="pct"/>
            <w:gridSpan w:val="2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"/>
              </w:rPr>
              <w:lastRenderedPageBreak/>
              <w:t>ИТОГО, КАПИТАЛ И ОБЯЗАТЕЛЬСТВА</w:t>
            </w:r>
          </w:p>
        </w:tc>
        <w:tc>
          <w:tcPr>
            <w:tcW w:w="942" w:type="pct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"/>
              </w:rPr>
              <w:t xml:space="preserve">1 189 216  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:rsidR="00656682" w:rsidRDefault="0065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40" w:type="pct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656682" w:rsidRDefault="00C26B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"/>
              </w:rPr>
              <w:t xml:space="preserve">694 952   </w:t>
            </w:r>
          </w:p>
        </w:tc>
      </w:tr>
    </w:tbl>
    <w:p w:rsidR="00AE36D0" w:rsidRPr="00AE36D0" w:rsidRDefault="00AE36D0" w:rsidP="00AE36D0">
      <w:pPr>
        <w:spacing w:after="0" w:line="24" w:lineRule="atLeast"/>
        <w:rPr>
          <w:rFonts w:ascii="Arial" w:eastAsia="Times New Roman" w:hAnsi="Arial" w:cs="Arial"/>
          <w:bCs/>
          <w:highlight w:val="yellow"/>
        </w:rPr>
      </w:pPr>
    </w:p>
    <w:p w:rsidR="00AE36D0" w:rsidRPr="00AE36D0" w:rsidRDefault="00AE36D0" w:rsidP="00AE36D0">
      <w:pPr>
        <w:spacing w:after="0" w:line="24" w:lineRule="atLeast"/>
        <w:rPr>
          <w:rFonts w:ascii="Arial" w:eastAsia="Times New Roman" w:hAnsi="Arial" w:cs="Arial"/>
          <w:bCs/>
        </w:rPr>
      </w:pPr>
    </w:p>
    <w:p w:rsidR="00340363" w:rsidRDefault="00340363" w:rsidP="003808EF">
      <w:pPr>
        <w:spacing w:line="24" w:lineRule="atLeast"/>
        <w:jc w:val="both"/>
        <w:rPr>
          <w:rFonts w:ascii="Arial" w:hAnsi="Arial" w:cs="Arial"/>
          <w:b/>
          <w:bCs/>
        </w:rPr>
      </w:pPr>
    </w:p>
    <w:p w:rsidR="003808EF" w:rsidRPr="00D8335C" w:rsidRDefault="00C26BB2" w:rsidP="003808EF">
      <w:pPr>
        <w:spacing w:line="24" w:lineRule="atLeast"/>
        <w:jc w:val="both"/>
        <w:rPr>
          <w:rFonts w:ascii="Arial" w:hAnsi="Arial" w:cs="Arial"/>
          <w:b/>
          <w:bCs/>
        </w:rPr>
      </w:pPr>
      <w:r w:rsidRPr="00D8335C">
        <w:rPr>
          <w:rFonts w:ascii="Arial" w:hAnsi="Arial" w:cs="Arial"/>
          <w:b/>
          <w:bCs/>
          <w:lang w:val="ru"/>
        </w:rPr>
        <w:t>Дополнительная информация</w:t>
      </w:r>
    </w:p>
    <w:p w:rsidR="003808EF" w:rsidRPr="00685672" w:rsidRDefault="00C26BB2" w:rsidP="003808EF">
      <w:pPr>
        <w:spacing w:line="24" w:lineRule="atLeast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"/>
        </w:rPr>
        <w:t>Дополнительную информацию о Noventiq можно найти в разделе по связям с инвесторами (Investor Relations) на сайте Noventiq.com</w:t>
      </w:r>
      <w:r w:rsidR="00333986">
        <w:rPr>
          <w:rFonts w:ascii="Arial" w:hAnsi="Arial" w:cs="Arial"/>
          <w:lang w:val="ru"/>
        </w:rPr>
        <w:t>.</w:t>
      </w:r>
    </w:p>
    <w:p w:rsidR="003808EF" w:rsidRPr="00685672" w:rsidRDefault="003808EF" w:rsidP="003808EF">
      <w:pPr>
        <w:spacing w:line="24" w:lineRule="atLeast"/>
        <w:jc w:val="both"/>
        <w:rPr>
          <w:rFonts w:ascii="Arial" w:hAnsi="Arial" w:cs="Arial"/>
          <w:b/>
          <w:bCs/>
          <w:lang w:val="ru-RU"/>
        </w:rPr>
      </w:pPr>
    </w:p>
    <w:p w:rsidR="003808EF" w:rsidRPr="00685672" w:rsidRDefault="00C26BB2" w:rsidP="003808EF">
      <w:pPr>
        <w:spacing w:line="24" w:lineRule="atLeast"/>
        <w:jc w:val="both"/>
        <w:rPr>
          <w:rFonts w:ascii="Arial" w:hAnsi="Arial" w:cs="Arial"/>
          <w:b/>
          <w:bCs/>
          <w:lang w:val="ru-RU"/>
        </w:rPr>
      </w:pPr>
      <w:r w:rsidRPr="00D8335C">
        <w:rPr>
          <w:rFonts w:ascii="Arial" w:hAnsi="Arial" w:cs="Arial"/>
          <w:b/>
          <w:bCs/>
          <w:lang w:val="ru"/>
        </w:rPr>
        <w:t xml:space="preserve">Веб-конференция по финансовым результатам </w:t>
      </w:r>
    </w:p>
    <w:p w:rsidR="003808EF" w:rsidRPr="00685672" w:rsidRDefault="00C26BB2" w:rsidP="003808EF">
      <w:pPr>
        <w:spacing w:line="24" w:lineRule="atLeast"/>
        <w:jc w:val="both"/>
        <w:rPr>
          <w:rFonts w:ascii="Arial" w:hAnsi="Arial" w:cs="Arial"/>
          <w:lang w:val="ru-RU"/>
        </w:rPr>
      </w:pPr>
      <w:r w:rsidRPr="00D8335C">
        <w:rPr>
          <w:rFonts w:ascii="Arial" w:hAnsi="Arial" w:cs="Arial"/>
          <w:lang w:val="ru"/>
        </w:rPr>
        <w:t>Веб-конференция для инвесторов, аналитиков и СМИ состоится 29</w:t>
      </w:r>
      <w:r w:rsidR="00A25687">
        <w:rPr>
          <w:rFonts w:ascii="Arial" w:hAnsi="Arial" w:cs="Arial"/>
          <w:lang w:val="ru"/>
        </w:rPr>
        <w:t xml:space="preserve"> ноября</w:t>
      </w:r>
      <w:r w:rsidRPr="00D8335C">
        <w:rPr>
          <w:rFonts w:ascii="Arial" w:hAnsi="Arial" w:cs="Arial"/>
          <w:lang w:val="ru"/>
        </w:rPr>
        <w:t xml:space="preserve"> 2022 года в 8:00 утра по британскому времени. Noventiq объявит основные показатели операционной деятельности за 2 квартал и 1 полугодие финансового года, заканчивающегося 31 марта 2023 года.</w:t>
      </w:r>
    </w:p>
    <w:p w:rsidR="00683B87" w:rsidRPr="00685672" w:rsidRDefault="00C26BB2" w:rsidP="002B2947">
      <w:pPr>
        <w:spacing w:after="0" w:line="312" w:lineRule="auto"/>
        <w:rPr>
          <w:rStyle w:val="a7"/>
          <w:rFonts w:ascii="Arial" w:hAnsi="Arial" w:cs="Arial"/>
          <w:color w:val="auto"/>
          <w:u w:val="none"/>
          <w:lang w:val="ru-RU"/>
        </w:rPr>
      </w:pPr>
      <w:r w:rsidRPr="00886034">
        <w:rPr>
          <w:rFonts w:ascii="Arial" w:hAnsi="Arial" w:cs="Arial"/>
          <w:lang w:val="ru"/>
        </w:rPr>
        <w:br/>
        <w:t xml:space="preserve">Прямая веб-трансляция конференции для инвесторов будет доступна по следующему адресу: </w:t>
      </w:r>
    </w:p>
    <w:p w:rsidR="00683B87" w:rsidRPr="00685672" w:rsidRDefault="00D602EA" w:rsidP="00683B87">
      <w:pPr>
        <w:spacing w:after="0" w:line="312" w:lineRule="auto"/>
        <w:rPr>
          <w:rFonts w:ascii="Arial" w:eastAsia="Arial" w:hAnsi="Arial" w:cs="Arial"/>
          <w:bCs/>
          <w:lang w:val="ru-RU"/>
        </w:rPr>
      </w:pPr>
      <w:hyperlink r:id="rId15" w:history="1">
        <w:r w:rsidR="002B2947" w:rsidRPr="00DC5DF8">
          <w:rPr>
            <w:rStyle w:val="a7"/>
            <w:rFonts w:ascii="Arial" w:eastAsia="Arial" w:hAnsi="Arial" w:cs="Arial"/>
            <w:bCs/>
            <w:lang w:val="ru"/>
          </w:rPr>
          <w:t>Торговый отчет за H1 FY2022</w:t>
        </w:r>
      </w:hyperlink>
    </w:p>
    <w:p w:rsidR="002B2947" w:rsidRPr="00685672" w:rsidRDefault="002B2947" w:rsidP="00683B87">
      <w:pPr>
        <w:spacing w:after="0" w:line="312" w:lineRule="auto"/>
        <w:rPr>
          <w:rFonts w:ascii="Arial" w:eastAsia="Arial" w:hAnsi="Arial" w:cs="Arial"/>
          <w:b/>
          <w:bCs/>
          <w:lang w:val="ru-RU"/>
        </w:rPr>
      </w:pPr>
    </w:p>
    <w:p w:rsidR="00683B87" w:rsidRPr="00685672" w:rsidRDefault="00C26BB2" w:rsidP="00683B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202C"/>
          <w:lang w:val="ru-RU" w:eastAsia="ru-RU"/>
        </w:rPr>
      </w:pPr>
      <w:r w:rsidRPr="00DC5DF8">
        <w:rPr>
          <w:rFonts w:ascii="Arial" w:eastAsia="Arial" w:hAnsi="Arial" w:cs="Arial"/>
          <w:b/>
          <w:bCs/>
          <w:lang w:val="ru"/>
        </w:rPr>
        <w:t>О компании Noventiq</w:t>
      </w:r>
      <w:r w:rsidRPr="00DC5DF8">
        <w:rPr>
          <w:rFonts w:ascii="Arial" w:eastAsia="Arial" w:hAnsi="Arial" w:cs="Arial"/>
          <w:b/>
          <w:bCs/>
          <w:lang w:val="ru"/>
        </w:rPr>
        <w:br/>
      </w:r>
    </w:p>
    <w:p w:rsidR="00454312" w:rsidRPr="00685672" w:rsidRDefault="00C26BB2" w:rsidP="00454312">
      <w:pPr>
        <w:spacing w:line="24" w:lineRule="atLeast"/>
        <w:jc w:val="both"/>
        <w:rPr>
          <w:rFonts w:ascii="Arial" w:hAnsi="Arial" w:cs="Arial"/>
          <w:lang w:val="ru-RU"/>
        </w:rPr>
      </w:pPr>
      <w:r w:rsidRPr="00886034">
        <w:rPr>
          <w:rFonts w:ascii="Arial" w:hAnsi="Arial" w:cs="Arial"/>
          <w:lang w:val="ru"/>
        </w:rPr>
        <w:t>Noventiq — это новый бренд компании, ранее именуемой Softline Holding PLC, одного из самых быстрорастущих игроков в своей отрасли. Компания</w:t>
      </w:r>
      <w:r w:rsidR="00AF5949">
        <w:rPr>
          <w:rFonts w:ascii="Arial" w:hAnsi="Arial" w:cs="Arial"/>
          <w:lang w:val="ru"/>
        </w:rPr>
        <w:t>, штаб-квартира которой находится в Лондоне,</w:t>
      </w:r>
      <w:r w:rsidRPr="00886034">
        <w:rPr>
          <w:rFonts w:ascii="Arial" w:hAnsi="Arial" w:cs="Arial"/>
          <w:lang w:val="ru"/>
        </w:rPr>
        <w:t xml:space="preserve"> является ведущим мировым поставщиком решений и услуг в области цифровой трансформации и кибербезопасности. Под этим брендом компания обеспечивает, облегчает и ускоряет цифровую трансформацию бизнеса своих клиентов. Она помогает более чем 75 000 организаций из всех отраслей получить лучшие в своем классе решения от сотен поставщиков ИТ-продуктов и предоставляет свои собственные услуги и решения.  </w:t>
      </w:r>
    </w:p>
    <w:p w:rsidR="00454312" w:rsidRPr="00685672" w:rsidRDefault="00C26BB2" w:rsidP="00454312">
      <w:pPr>
        <w:spacing w:line="24" w:lineRule="atLeast"/>
        <w:jc w:val="both"/>
        <w:rPr>
          <w:rFonts w:ascii="Arial" w:hAnsi="Arial" w:cs="Arial"/>
          <w:lang w:val="ru-RU"/>
        </w:rPr>
      </w:pPr>
      <w:r w:rsidRPr="00886034">
        <w:rPr>
          <w:rFonts w:ascii="Arial" w:hAnsi="Arial" w:cs="Arial"/>
          <w:lang w:val="ru"/>
        </w:rPr>
        <w:t xml:space="preserve">В 2021 финансовом году </w:t>
      </w:r>
      <w:r w:rsidR="0030611E">
        <w:rPr>
          <w:rFonts w:ascii="Arial" w:hAnsi="Arial" w:cs="Arial"/>
          <w:lang w:val="ru"/>
        </w:rPr>
        <w:t xml:space="preserve">оборот </w:t>
      </w:r>
      <w:r w:rsidRPr="00886034">
        <w:rPr>
          <w:rFonts w:ascii="Arial" w:hAnsi="Arial" w:cs="Arial"/>
          <w:lang w:val="ru"/>
        </w:rPr>
        <w:t>компании составил около 1,1 млрд долл. США. Акции компании торгуются на Лондонской фондовой бирже после успешного IPO в октябре 2021 года.</w:t>
      </w:r>
    </w:p>
    <w:p w:rsidR="00683B87" w:rsidRPr="00685672" w:rsidRDefault="00C26BB2" w:rsidP="00454312">
      <w:pPr>
        <w:spacing w:line="24" w:lineRule="atLeast"/>
        <w:jc w:val="both"/>
        <w:rPr>
          <w:rFonts w:ascii="Arial" w:hAnsi="Arial" w:cs="Arial"/>
          <w:lang w:val="ru-RU"/>
        </w:rPr>
      </w:pPr>
      <w:r w:rsidRPr="00886034">
        <w:rPr>
          <w:rFonts w:ascii="Arial" w:hAnsi="Arial" w:cs="Arial"/>
          <w:lang w:val="ru"/>
        </w:rPr>
        <w:t>Около 3900 сотрудников компании работают почти в 60 странах Азии, Латинской Америки, Восточной Европы, Ближнего Востока и Африки — рынках со значительным потенциалом роста.</w:t>
      </w:r>
    </w:p>
    <w:p w:rsidR="00E85A4C" w:rsidRPr="00685672" w:rsidRDefault="00E85A4C" w:rsidP="00E85A4C">
      <w:pPr>
        <w:spacing w:after="0" w:line="312" w:lineRule="auto"/>
        <w:rPr>
          <w:rFonts w:ascii="Arial" w:eastAsia="Arial" w:hAnsi="Arial" w:cs="Arial"/>
          <w:bCs/>
          <w:lang w:val="ru-RU"/>
        </w:rPr>
      </w:pPr>
    </w:p>
    <w:p w:rsidR="00E85A4C" w:rsidRPr="00685672" w:rsidRDefault="00C26BB2" w:rsidP="00E85A4C">
      <w:pPr>
        <w:spacing w:after="0" w:line="312" w:lineRule="auto"/>
        <w:rPr>
          <w:rFonts w:ascii="Arial" w:eastAsia="Arial" w:hAnsi="Arial" w:cs="Arial"/>
          <w:bCs/>
          <w:lang w:val="ru-RU"/>
        </w:rPr>
      </w:pPr>
      <w:r w:rsidRPr="00E85A4C">
        <w:rPr>
          <w:rFonts w:ascii="Arial" w:eastAsia="Arial" w:hAnsi="Arial" w:cs="Arial"/>
          <w:bCs/>
          <w:lang w:val="ru"/>
        </w:rPr>
        <w:t xml:space="preserve">Дополнительную информацию о компании можно найти на сайте: </w:t>
      </w:r>
      <w:hyperlink r:id="rId16" w:history="1">
        <w:r w:rsidRPr="00D92F76">
          <w:rPr>
            <w:rStyle w:val="a7"/>
            <w:rFonts w:ascii="Arial" w:eastAsia="Arial" w:hAnsi="Arial" w:cs="Arial"/>
            <w:bCs/>
            <w:lang w:val="ru"/>
          </w:rPr>
          <w:t>https://noventiq.com/investor-relations</w:t>
        </w:r>
      </w:hyperlink>
    </w:p>
    <w:p w:rsidR="00683B87" w:rsidRPr="00685672" w:rsidRDefault="00683B87" w:rsidP="00683B87">
      <w:pPr>
        <w:spacing w:line="24" w:lineRule="atLeast"/>
        <w:jc w:val="both"/>
        <w:rPr>
          <w:rFonts w:ascii="Arial" w:hAnsi="Arial" w:cs="Arial"/>
          <w:b/>
          <w:lang w:val="ru-RU"/>
        </w:rPr>
      </w:pPr>
    </w:p>
    <w:p w:rsidR="00683B87" w:rsidRPr="00685672" w:rsidRDefault="00C26BB2" w:rsidP="00683B87">
      <w:pPr>
        <w:spacing w:line="24" w:lineRule="atLeast"/>
        <w:jc w:val="both"/>
        <w:rPr>
          <w:rFonts w:ascii="Arial" w:hAnsi="Arial" w:cs="Arial"/>
          <w:b/>
          <w:bCs/>
          <w:lang w:val="ru-RU"/>
        </w:rPr>
      </w:pPr>
      <w:r w:rsidRPr="00DC5DF8">
        <w:rPr>
          <w:rFonts w:ascii="Arial" w:hAnsi="Arial" w:cs="Arial"/>
          <w:b/>
          <w:bCs/>
          <w:lang w:val="ru"/>
        </w:rPr>
        <w:t>Контактные лица:</w:t>
      </w:r>
    </w:p>
    <w:p w:rsidR="00683B87" w:rsidRPr="00685672" w:rsidRDefault="00683B87" w:rsidP="00683B8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" w:lineRule="atLeast"/>
        <w:jc w:val="both"/>
        <w:rPr>
          <w:rFonts w:ascii="Arial" w:eastAsia="Calibri" w:hAnsi="Arial" w:cs="Arial"/>
          <w:sz w:val="22"/>
          <w:szCs w:val="22"/>
          <w:lang w:val="ru-RU"/>
        </w:rPr>
      </w:pPr>
    </w:p>
    <w:p w:rsidR="00683B87" w:rsidRPr="00685672" w:rsidRDefault="00C26BB2" w:rsidP="00683B8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" w:lineRule="atLeast"/>
        <w:jc w:val="both"/>
        <w:rPr>
          <w:rFonts w:ascii="Arial" w:eastAsia="Calibri" w:hAnsi="Arial" w:cs="Arial"/>
          <w:sz w:val="22"/>
          <w:szCs w:val="22"/>
          <w:lang w:val="ru-RU"/>
        </w:rPr>
      </w:pPr>
      <w:r w:rsidRPr="00886034">
        <w:rPr>
          <w:rFonts w:ascii="Arial" w:eastAsia="Calibri" w:hAnsi="Arial" w:cs="Arial"/>
          <w:sz w:val="22"/>
          <w:szCs w:val="22"/>
          <w:lang w:val="ru"/>
        </w:rPr>
        <w:t xml:space="preserve">Стивен </w:t>
      </w:r>
      <w:proofErr w:type="spellStart"/>
      <w:r w:rsidRPr="00886034">
        <w:rPr>
          <w:rFonts w:ascii="Arial" w:eastAsia="Calibri" w:hAnsi="Arial" w:cs="Arial"/>
          <w:sz w:val="22"/>
          <w:szCs w:val="22"/>
          <w:lang w:val="ru"/>
        </w:rPr>
        <w:t>Солтер</w:t>
      </w:r>
      <w:proofErr w:type="spellEnd"/>
      <w:r w:rsidRPr="00886034">
        <w:rPr>
          <w:rFonts w:ascii="Arial" w:eastAsia="Calibri" w:hAnsi="Arial" w:cs="Arial"/>
          <w:sz w:val="22"/>
          <w:szCs w:val="22"/>
          <w:lang w:val="ru"/>
        </w:rPr>
        <w:t xml:space="preserve"> (Steven Salter)</w:t>
      </w:r>
    </w:p>
    <w:p w:rsidR="00683B87" w:rsidRPr="00685672" w:rsidRDefault="00C26BB2" w:rsidP="00683B8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" w:lineRule="atLeast"/>
        <w:jc w:val="both"/>
        <w:rPr>
          <w:rFonts w:ascii="Arial" w:eastAsia="Calibri" w:hAnsi="Arial" w:cs="Arial"/>
          <w:sz w:val="22"/>
          <w:szCs w:val="22"/>
          <w:lang w:val="ru-RU"/>
        </w:rPr>
      </w:pPr>
      <w:r w:rsidRPr="00886034">
        <w:rPr>
          <w:rFonts w:ascii="Arial" w:eastAsia="Calibri" w:hAnsi="Arial" w:cs="Arial"/>
          <w:sz w:val="22"/>
          <w:szCs w:val="22"/>
          <w:lang w:val="ru"/>
        </w:rPr>
        <w:t>Вице-президент по глобальным связям с инвесторами</w:t>
      </w:r>
    </w:p>
    <w:p w:rsidR="00683B87" w:rsidRPr="00C26BB2" w:rsidRDefault="00D602EA" w:rsidP="00683B8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" w:lineRule="atLeast"/>
        <w:jc w:val="both"/>
        <w:rPr>
          <w:rFonts w:ascii="Arial" w:eastAsia="Calibri" w:hAnsi="Arial" w:cs="Arial"/>
          <w:sz w:val="22"/>
          <w:szCs w:val="22"/>
          <w:lang w:val="ru-RU"/>
        </w:rPr>
      </w:pPr>
      <w:hyperlink r:id="rId17" w:history="1">
        <w:r w:rsidR="00454312" w:rsidRPr="00685672">
          <w:rPr>
            <w:rStyle w:val="a7"/>
            <w:rFonts w:ascii="Arial" w:eastAsia="Calibri" w:hAnsi="Arial" w:cs="Arial"/>
            <w:sz w:val="22"/>
            <w:szCs w:val="22"/>
          </w:rPr>
          <w:t>IR</w:t>
        </w:r>
        <w:r w:rsidR="00454312" w:rsidRPr="00C26BB2">
          <w:rPr>
            <w:rStyle w:val="a7"/>
            <w:rFonts w:ascii="Arial" w:eastAsia="Calibri" w:hAnsi="Arial" w:cs="Arial"/>
            <w:sz w:val="22"/>
            <w:szCs w:val="22"/>
            <w:lang w:val="ru-RU"/>
          </w:rPr>
          <w:t>@</w:t>
        </w:r>
        <w:proofErr w:type="spellStart"/>
        <w:r w:rsidR="00454312" w:rsidRPr="00685672">
          <w:rPr>
            <w:rStyle w:val="a7"/>
            <w:rFonts w:ascii="Arial" w:eastAsia="Calibri" w:hAnsi="Arial" w:cs="Arial"/>
            <w:sz w:val="22"/>
            <w:szCs w:val="22"/>
          </w:rPr>
          <w:t>noventiq</w:t>
        </w:r>
        <w:proofErr w:type="spellEnd"/>
        <w:r w:rsidR="00454312" w:rsidRPr="00C26BB2">
          <w:rPr>
            <w:rStyle w:val="a7"/>
            <w:rFonts w:ascii="Arial" w:eastAsia="Calibri" w:hAnsi="Arial" w:cs="Arial"/>
            <w:sz w:val="22"/>
            <w:szCs w:val="22"/>
            <w:lang w:val="ru-RU"/>
          </w:rPr>
          <w:t>.</w:t>
        </w:r>
        <w:r w:rsidR="00454312" w:rsidRPr="00685672">
          <w:rPr>
            <w:rStyle w:val="a7"/>
            <w:rFonts w:ascii="Arial" w:eastAsia="Calibri" w:hAnsi="Arial" w:cs="Arial"/>
            <w:sz w:val="22"/>
            <w:szCs w:val="22"/>
          </w:rPr>
          <w:t>com</w:t>
        </w:r>
      </w:hyperlink>
    </w:p>
    <w:p w:rsidR="00683B87" w:rsidRPr="00C26BB2" w:rsidRDefault="00683B87" w:rsidP="00683B8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" w:lineRule="atLeast"/>
        <w:jc w:val="both"/>
        <w:rPr>
          <w:rFonts w:ascii="Arial" w:eastAsia="Calibri" w:hAnsi="Arial" w:cs="Arial"/>
          <w:sz w:val="22"/>
          <w:szCs w:val="22"/>
          <w:lang w:val="ru-RU"/>
        </w:rPr>
      </w:pPr>
    </w:p>
    <w:p w:rsidR="00683B87" w:rsidRPr="00C26BB2" w:rsidRDefault="00683B87" w:rsidP="00683B8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" w:lineRule="atLeast"/>
        <w:jc w:val="both"/>
        <w:rPr>
          <w:rFonts w:ascii="Arial" w:eastAsia="Calibri" w:hAnsi="Arial" w:cs="Arial"/>
          <w:sz w:val="22"/>
          <w:szCs w:val="22"/>
          <w:lang w:val="ru-RU"/>
        </w:rPr>
      </w:pPr>
    </w:p>
    <w:p w:rsidR="00683B87" w:rsidRPr="00C26BB2" w:rsidRDefault="00C26BB2" w:rsidP="00683B8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" w:lineRule="atLeast"/>
        <w:jc w:val="both"/>
        <w:rPr>
          <w:rFonts w:ascii="Arial" w:eastAsia="Calibri" w:hAnsi="Arial" w:cs="Arial"/>
          <w:sz w:val="22"/>
          <w:szCs w:val="22"/>
          <w:lang w:val="ru-RU"/>
        </w:rPr>
      </w:pPr>
      <w:proofErr w:type="spellStart"/>
      <w:r w:rsidRPr="00886034">
        <w:rPr>
          <w:rFonts w:ascii="Arial" w:eastAsia="Calibri" w:hAnsi="Arial" w:cs="Arial"/>
          <w:sz w:val="22"/>
          <w:szCs w:val="22"/>
          <w:lang w:val="ru"/>
        </w:rPr>
        <w:t>Росио</w:t>
      </w:r>
      <w:proofErr w:type="spellEnd"/>
      <w:r w:rsidRPr="00C26BB2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proofErr w:type="spellStart"/>
      <w:r w:rsidRPr="00886034">
        <w:rPr>
          <w:rFonts w:ascii="Arial" w:eastAsia="Calibri" w:hAnsi="Arial" w:cs="Arial"/>
          <w:sz w:val="22"/>
          <w:szCs w:val="22"/>
          <w:lang w:val="ru"/>
        </w:rPr>
        <w:t>Эрраис</w:t>
      </w:r>
      <w:proofErr w:type="spellEnd"/>
      <w:r w:rsidRPr="00C26BB2">
        <w:rPr>
          <w:rFonts w:ascii="Arial" w:eastAsia="Calibri" w:hAnsi="Arial" w:cs="Arial"/>
          <w:sz w:val="22"/>
          <w:szCs w:val="22"/>
          <w:lang w:val="ru-RU"/>
        </w:rPr>
        <w:t xml:space="preserve"> (</w:t>
      </w:r>
      <w:r w:rsidRPr="00685672">
        <w:rPr>
          <w:rFonts w:ascii="Arial" w:eastAsia="Calibri" w:hAnsi="Arial" w:cs="Arial"/>
          <w:sz w:val="22"/>
          <w:szCs w:val="22"/>
        </w:rPr>
        <w:t>Rocio</w:t>
      </w:r>
      <w:r w:rsidRPr="00C26BB2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r w:rsidRPr="00685672">
        <w:rPr>
          <w:rFonts w:ascii="Arial" w:eastAsia="Calibri" w:hAnsi="Arial" w:cs="Arial"/>
          <w:sz w:val="22"/>
          <w:szCs w:val="22"/>
        </w:rPr>
        <w:t>Herraiz</w:t>
      </w:r>
      <w:r w:rsidRPr="00C26BB2">
        <w:rPr>
          <w:rFonts w:ascii="Arial" w:eastAsia="Calibri" w:hAnsi="Arial" w:cs="Arial"/>
          <w:sz w:val="22"/>
          <w:szCs w:val="22"/>
          <w:lang w:val="ru-RU"/>
        </w:rPr>
        <w:t>)</w:t>
      </w:r>
      <w:r w:rsidRPr="00C26BB2">
        <w:rPr>
          <w:rFonts w:ascii="Arial" w:eastAsia="Calibri" w:hAnsi="Arial" w:cs="Arial"/>
          <w:sz w:val="22"/>
          <w:szCs w:val="22"/>
          <w:lang w:val="ru-RU"/>
        </w:rPr>
        <w:tab/>
      </w:r>
      <w:r w:rsidRPr="00C26BB2">
        <w:rPr>
          <w:rFonts w:ascii="Arial" w:eastAsia="Calibri" w:hAnsi="Arial" w:cs="Arial"/>
          <w:sz w:val="22"/>
          <w:szCs w:val="22"/>
          <w:lang w:val="ru-RU"/>
        </w:rPr>
        <w:tab/>
      </w:r>
      <w:r w:rsidRPr="00C26BB2">
        <w:rPr>
          <w:rFonts w:ascii="Arial" w:eastAsia="Calibri" w:hAnsi="Arial" w:cs="Arial"/>
          <w:sz w:val="22"/>
          <w:szCs w:val="22"/>
          <w:lang w:val="ru-RU"/>
        </w:rPr>
        <w:tab/>
      </w:r>
    </w:p>
    <w:p w:rsidR="00683B87" w:rsidRPr="00685672" w:rsidRDefault="00C26BB2" w:rsidP="00683B8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" w:lineRule="atLeast"/>
        <w:jc w:val="both"/>
        <w:rPr>
          <w:rFonts w:ascii="Arial" w:eastAsia="Calibri" w:hAnsi="Arial" w:cs="Arial"/>
          <w:sz w:val="22"/>
          <w:szCs w:val="22"/>
          <w:lang w:val="ru-RU"/>
        </w:rPr>
      </w:pPr>
      <w:r w:rsidRPr="00DC5DF8">
        <w:rPr>
          <w:rFonts w:ascii="Arial" w:eastAsia="Calibri" w:hAnsi="Arial" w:cs="Arial"/>
          <w:sz w:val="22"/>
          <w:szCs w:val="22"/>
          <w:lang w:val="ru"/>
        </w:rPr>
        <w:lastRenderedPageBreak/>
        <w:t>Руководитель глобальной службы коммуникаций</w:t>
      </w:r>
    </w:p>
    <w:p w:rsidR="00683B87" w:rsidRPr="00685672" w:rsidRDefault="00D602EA" w:rsidP="00683B87">
      <w:pPr>
        <w:spacing w:line="24" w:lineRule="atLeast"/>
        <w:jc w:val="both"/>
        <w:rPr>
          <w:rFonts w:ascii="Arial" w:eastAsia="Calibri" w:hAnsi="Arial" w:cs="Arial"/>
          <w:lang w:val="ru-RU"/>
        </w:rPr>
      </w:pPr>
      <w:hyperlink r:id="rId18" w:history="1">
        <w:r w:rsidR="00717713">
          <w:rPr>
            <w:rStyle w:val="a7"/>
            <w:rFonts w:ascii="Arial" w:eastAsia="Calibri" w:hAnsi="Arial" w:cs="Arial"/>
            <w:lang w:val="ru"/>
          </w:rPr>
          <w:t>pr@noventiq.com</w:t>
        </w:r>
      </w:hyperlink>
    </w:p>
    <w:p w:rsidR="00683B87" w:rsidRPr="00685672" w:rsidRDefault="00683B87" w:rsidP="00454312">
      <w:pPr>
        <w:tabs>
          <w:tab w:val="num" w:pos="360"/>
        </w:tabs>
        <w:spacing w:after="120" w:line="240" w:lineRule="auto"/>
        <w:rPr>
          <w:b/>
          <w:sz w:val="24"/>
          <w:szCs w:val="24"/>
          <w:lang w:val="ru-RU"/>
        </w:rPr>
      </w:pPr>
    </w:p>
    <w:p w:rsidR="003808EF" w:rsidRPr="00685672" w:rsidRDefault="00634986" w:rsidP="003808EF">
      <w:pPr>
        <w:spacing w:line="24" w:lineRule="atLeast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"/>
        </w:rPr>
        <w:t>Примечания</w:t>
      </w:r>
    </w:p>
    <w:p w:rsidR="003808EF" w:rsidRPr="00685672" w:rsidRDefault="00C26BB2" w:rsidP="003808EF">
      <w:pPr>
        <w:spacing w:line="24" w:lineRule="atLeast"/>
        <w:jc w:val="both"/>
        <w:rPr>
          <w:rFonts w:ascii="Arial" w:hAnsi="Arial" w:cs="Arial"/>
          <w:i/>
          <w:lang w:val="ru-RU"/>
        </w:rPr>
      </w:pPr>
      <w:r w:rsidRPr="00D8335C">
        <w:rPr>
          <w:rFonts w:ascii="Arial" w:hAnsi="Arial" w:cs="Arial"/>
          <w:i/>
          <w:lang w:val="ru"/>
        </w:rPr>
        <w:t xml:space="preserve">Финансовые результаты, представлены в настоящем пресс-релизе, получены из управленческой отчетности Группы за 2 квартал и 1 полугодие 2022 финансового года, 2 квартал и 1 полугодие 2021 финансового года. Они не были аудированы. Показатель «в постоянной валюте» исключает влияние колебаний обменного курса иностранной валюты путем перевода выручки текущего периода в доллары США по средневзвешенным обменным курсам за предыдущий период сравнения. </w:t>
      </w:r>
    </w:p>
    <w:p w:rsidR="003808EF" w:rsidRPr="00685672" w:rsidRDefault="00C26BB2" w:rsidP="00DA6E6B">
      <w:pPr>
        <w:spacing w:line="24" w:lineRule="atLeast"/>
        <w:jc w:val="both"/>
        <w:rPr>
          <w:rFonts w:ascii="Arial" w:hAnsi="Arial" w:cs="Arial"/>
          <w:i/>
          <w:lang w:val="ru-RU"/>
        </w:rPr>
      </w:pPr>
      <w:r w:rsidRPr="00D8335C">
        <w:rPr>
          <w:rFonts w:ascii="Arial" w:hAnsi="Arial" w:cs="Arial"/>
          <w:i/>
          <w:lang w:val="ru"/>
        </w:rPr>
        <w:t xml:space="preserve">Этот документ может содержать или включать в себя заявления прогнозного характера. Заявления прогнозного характера — это заявления, которые не описывают свершившиеся факты и могут быть идентифицированы такими словами, как «планы», «цели», «намерения», «полагает», «ожидает», «предвидит», «стремится», «оценивает», «будет», «может», «продолжает», «должна», а также другими подобными выражениями. На момент их составления эти заявления прогнозного характера отражают убеждения, намерения и текущие цели Компании, касающиеся, помимо прочего, результатов деятельности Компании или Группы, финансового положения, ликвидности, перспектив, роста и стратегий. Заявления прогнозного характера включают заявления, касающиеся: целей, задач, стратегий, перспектив и роста; будущих планов, событий или результатов деятельности и потенциала для будущего роста; ликвидности, капитальных активов и капитальных затрат; экономических перспектив и отраслевых тенденций; развития рынков, на которых работает Компания или Группа; влияния инициатив регуляторов; успешности конкурентов Компании или любого другого члена Группы. Заявления прогнозного характера сопряжены с рисками и неопределенностями, поскольку они связаны с событиями и зависят от обстоятельств, которые могут произойти, а могут и не произойти в будущем. Заявления прогнозного характера, содержащиеся в этом документе, основаны на различных допущениях, многие из которых, в свою очередь, основаны на других допущениях, включая, помимо прочего, результаты анализа руководством бизнес-тенденций за прошлые периоды, данных, содержащихся в отчетах Компании (и других членов Группы), а также других доступных данных от третьих сторон. Хотя Компания считает, что эти допущения были обоснованными на момент их формулирования, эти допущения по сути своей подвержены значительным известным и неизвестным рискам, влиянию неопределенности, непредвиденных обстоятельств и других важных факторов, которые трудно или невозможно предсказать и которые находятся вне контроля Компании. Заявления прогнозного характера не являются гарантией будущих результатов, и такие риски, неопределенности, непредвиденные обстоятельства и другие важные факторы могут привести к тому, что фактические результаты деятельности, финансовое состояние и ликвидность Компании и других членов Группы или отрасли будут существенно отличаться от результатов, описанных или подразумеваемых в этом документе такими заявлениями прогнозного характера. Настоящий документ не предусматривает никаких заявлений о том или гарантий того, что любое из этих заявлений прогнозного характера или прогнозов </w:t>
      </w:r>
      <w:r w:rsidR="00DE4125" w:rsidRPr="00D8335C">
        <w:rPr>
          <w:rFonts w:ascii="Arial" w:hAnsi="Arial" w:cs="Arial"/>
          <w:i/>
          <w:lang w:val="ru"/>
        </w:rPr>
        <w:t>сбудется,</w:t>
      </w:r>
      <w:r w:rsidRPr="00D8335C">
        <w:rPr>
          <w:rFonts w:ascii="Arial" w:hAnsi="Arial" w:cs="Arial"/>
          <w:i/>
          <w:lang w:val="ru"/>
        </w:rPr>
        <w:t xml:space="preserve"> или что какой-либо прогнозируемый результат будет достигнут. Не следует придавать чрезмерной значимости каким-либо заявлениям прогнозного характера и не следует полагаться на них. Никакое заявление в настоящем документе не должно рассматриваться и не может быть истолковано как прогноз прибыли.</w:t>
      </w:r>
    </w:p>
    <w:sectPr w:rsidR="003808EF" w:rsidRPr="00685672" w:rsidSect="009141F2">
      <w:head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2EA" w:rsidRDefault="00D602EA">
      <w:pPr>
        <w:spacing w:after="0" w:line="240" w:lineRule="auto"/>
      </w:pPr>
      <w:r>
        <w:separator/>
      </w:r>
    </w:p>
  </w:endnote>
  <w:endnote w:type="continuationSeparator" w:id="0">
    <w:p w:rsidR="00D602EA" w:rsidRDefault="00D6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2EA" w:rsidRDefault="00D602EA">
      <w:pPr>
        <w:spacing w:after="0" w:line="240" w:lineRule="auto"/>
      </w:pPr>
      <w:r>
        <w:separator/>
      </w:r>
    </w:p>
  </w:footnote>
  <w:footnote w:type="continuationSeparator" w:id="0">
    <w:p w:rsidR="00D602EA" w:rsidRDefault="00D6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F01" w:rsidRDefault="00D61F01" w:rsidP="00DC2254">
    <w:pPr>
      <w:pStyle w:val="ac"/>
      <w:jc w:val="center"/>
    </w:pPr>
    <w:r>
      <w:rPr>
        <w:noProof/>
        <w:lang w:val="ru-RU" w:eastAsia="ru-RU"/>
      </w:rPr>
      <w:drawing>
        <wp:inline distT="0" distB="0" distL="0" distR="0">
          <wp:extent cx="3392184" cy="6915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6921514" name="Noventiq_in_ava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220" b="40394"/>
                  <a:stretch>
                    <a:fillRect/>
                  </a:stretch>
                </pic:blipFill>
                <pic:spPr bwMode="auto">
                  <a:xfrm>
                    <a:off x="0" y="0"/>
                    <a:ext cx="3766551" cy="7678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61F01" w:rsidRDefault="00D61F01" w:rsidP="00DC2254">
    <w:pPr>
      <w:pStyle w:val="ac"/>
      <w:jc w:val="center"/>
    </w:pPr>
  </w:p>
  <w:p w:rsidR="00D61F01" w:rsidRDefault="00D61F01" w:rsidP="00DC2254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110A"/>
    <w:multiLevelType w:val="multilevel"/>
    <w:tmpl w:val="CDA825C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F66847"/>
    <w:multiLevelType w:val="multilevel"/>
    <w:tmpl w:val="830830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  <w:lang w:val="en-GB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2C1B02"/>
    <w:multiLevelType w:val="hybridMultilevel"/>
    <w:tmpl w:val="C0109B16"/>
    <w:lvl w:ilvl="0" w:tplc="51AC9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0A5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FE5E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58F6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9462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DEDC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583E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F8F7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3241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E520C"/>
    <w:multiLevelType w:val="hybridMultilevel"/>
    <w:tmpl w:val="D3121894"/>
    <w:lvl w:ilvl="0" w:tplc="95C65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0252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9860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745B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2A69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7811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322E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42FC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4EEB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32B2E"/>
    <w:multiLevelType w:val="hybridMultilevel"/>
    <w:tmpl w:val="C0B8C80A"/>
    <w:lvl w:ilvl="0" w:tplc="A58A279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8A7634B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066A74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B6473D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7BC727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0EA061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25E2A5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F76406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3D6924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A11C8B"/>
    <w:multiLevelType w:val="hybridMultilevel"/>
    <w:tmpl w:val="5D7E1A22"/>
    <w:lvl w:ilvl="0" w:tplc="ECC263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0251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66A5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4A27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CED7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6834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3E5B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F06B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920F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F427D"/>
    <w:multiLevelType w:val="multilevel"/>
    <w:tmpl w:val="5122D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lang w:val="en-US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BB0A60"/>
    <w:multiLevelType w:val="hybridMultilevel"/>
    <w:tmpl w:val="8F263B8A"/>
    <w:lvl w:ilvl="0" w:tplc="D332B1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C87C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053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2477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A057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229A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02B0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5CE7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AEE6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30656"/>
    <w:multiLevelType w:val="multilevel"/>
    <w:tmpl w:val="27A8A25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9376B8"/>
    <w:multiLevelType w:val="hybridMultilevel"/>
    <w:tmpl w:val="8B64EB64"/>
    <w:lvl w:ilvl="0" w:tplc="A204E1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3663A0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1805E9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F72851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9185B0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97A442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D72F39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ECE000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79A5BB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E51224"/>
    <w:multiLevelType w:val="hybridMultilevel"/>
    <w:tmpl w:val="53AC462E"/>
    <w:lvl w:ilvl="0" w:tplc="7C6467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5C53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50FD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E829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E275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909B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EE01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F2C9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FE8F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23D17"/>
    <w:multiLevelType w:val="multilevel"/>
    <w:tmpl w:val="C388BE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  <w:lang w:val="en-GB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53E2F8A"/>
    <w:multiLevelType w:val="hybridMultilevel"/>
    <w:tmpl w:val="E7D43AEC"/>
    <w:lvl w:ilvl="0" w:tplc="6076F47E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324278A2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6570D894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57E09478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26C258F2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97EE1610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CF5C7DC4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25860256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F258BF70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3" w15:restartNumberingAfterBreak="0">
    <w:nsid w:val="4F8F605E"/>
    <w:multiLevelType w:val="hybridMultilevel"/>
    <w:tmpl w:val="7DE40FFE"/>
    <w:lvl w:ilvl="0" w:tplc="2E04B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C48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0016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CCA6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D49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0467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C2A6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6474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AA41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34141"/>
    <w:multiLevelType w:val="hybridMultilevel"/>
    <w:tmpl w:val="350ECE96"/>
    <w:lvl w:ilvl="0" w:tplc="5A3C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C0F5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A0E9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FEC0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F4EE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B423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F0E8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6C1D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7AA4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32C1C"/>
    <w:multiLevelType w:val="multilevel"/>
    <w:tmpl w:val="E4E2676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  <w:lang w:val="en-US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57B6D8C"/>
    <w:multiLevelType w:val="hybridMultilevel"/>
    <w:tmpl w:val="B560D842"/>
    <w:lvl w:ilvl="0" w:tplc="A8BE1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965F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4ACC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2CD3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E45C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0094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189F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A407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D66A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54C18"/>
    <w:multiLevelType w:val="hybridMultilevel"/>
    <w:tmpl w:val="F8B6273A"/>
    <w:lvl w:ilvl="0" w:tplc="48122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3050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309E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1AAC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C096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3676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1E68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10C5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68B4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6101E"/>
    <w:multiLevelType w:val="hybridMultilevel"/>
    <w:tmpl w:val="0C1AB162"/>
    <w:lvl w:ilvl="0" w:tplc="9E1C0A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A248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921F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844A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247A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F099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60A9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FEFC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729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64398"/>
    <w:multiLevelType w:val="hybridMultilevel"/>
    <w:tmpl w:val="AD6699E4"/>
    <w:lvl w:ilvl="0" w:tplc="A3BCC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D458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AABC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9254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6815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12FA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3689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888B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E237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96662E"/>
    <w:multiLevelType w:val="hybridMultilevel"/>
    <w:tmpl w:val="5D0896FC"/>
    <w:lvl w:ilvl="0" w:tplc="233ACA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78CA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14AB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922D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E422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A82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B6A1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60FF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3C66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E1E3E"/>
    <w:multiLevelType w:val="hybridMultilevel"/>
    <w:tmpl w:val="E0FC9E60"/>
    <w:lvl w:ilvl="0" w:tplc="53E4A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D428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C011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E4FE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98FE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8C3F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22F0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3087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4035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61B35"/>
    <w:multiLevelType w:val="hybridMultilevel"/>
    <w:tmpl w:val="E8269048"/>
    <w:lvl w:ilvl="0" w:tplc="F8404A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444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B0D8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E32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2210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9454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EAEF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C4B9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AEC6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522C9"/>
    <w:multiLevelType w:val="hybridMultilevel"/>
    <w:tmpl w:val="9ABA7ABC"/>
    <w:lvl w:ilvl="0" w:tplc="F6C47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4615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D864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494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AE93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68A2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C67A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D60F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03A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3"/>
  </w:num>
  <w:num w:numId="4">
    <w:abstractNumId w:val="19"/>
  </w:num>
  <w:num w:numId="5">
    <w:abstractNumId w:val="14"/>
  </w:num>
  <w:num w:numId="6">
    <w:abstractNumId w:val="23"/>
  </w:num>
  <w:num w:numId="7">
    <w:abstractNumId w:val="8"/>
  </w:num>
  <w:num w:numId="8">
    <w:abstractNumId w:val="11"/>
  </w:num>
  <w:num w:numId="9">
    <w:abstractNumId w:val="0"/>
  </w:num>
  <w:num w:numId="10">
    <w:abstractNumId w:val="15"/>
  </w:num>
  <w:num w:numId="11">
    <w:abstractNumId w:val="9"/>
  </w:num>
  <w:num w:numId="12">
    <w:abstractNumId w:val="9"/>
  </w:num>
  <w:num w:numId="13">
    <w:abstractNumId w:val="4"/>
  </w:num>
  <w:num w:numId="14">
    <w:abstractNumId w:val="2"/>
  </w:num>
  <w:num w:numId="15">
    <w:abstractNumId w:val="6"/>
  </w:num>
  <w:num w:numId="16">
    <w:abstractNumId w:val="10"/>
  </w:num>
  <w:num w:numId="17">
    <w:abstractNumId w:val="1"/>
  </w:num>
  <w:num w:numId="18">
    <w:abstractNumId w:val="3"/>
  </w:num>
  <w:num w:numId="19">
    <w:abstractNumId w:val="12"/>
  </w:num>
  <w:num w:numId="20">
    <w:abstractNumId w:val="17"/>
  </w:num>
  <w:num w:numId="21">
    <w:abstractNumId w:val="21"/>
  </w:num>
  <w:num w:numId="22">
    <w:abstractNumId w:val="7"/>
  </w:num>
  <w:num w:numId="23">
    <w:abstractNumId w:val="21"/>
  </w:num>
  <w:num w:numId="24">
    <w:abstractNumId w:val="16"/>
  </w:num>
  <w:num w:numId="25">
    <w:abstractNumId w:val="20"/>
  </w:num>
  <w:num w:numId="26">
    <w:abstractNumId w:val="18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NeedToUniquify" w:val="false"/>
    <w:docVar w:name="APWAFVersion" w:val="5.0"/>
  </w:docVars>
  <w:rsids>
    <w:rsidRoot w:val="008D05DB"/>
    <w:rsid w:val="00007886"/>
    <w:rsid w:val="00012149"/>
    <w:rsid w:val="000121CB"/>
    <w:rsid w:val="0001233E"/>
    <w:rsid w:val="00017911"/>
    <w:rsid w:val="00031377"/>
    <w:rsid w:val="000463DC"/>
    <w:rsid w:val="00046F10"/>
    <w:rsid w:val="00047577"/>
    <w:rsid w:val="00047D2D"/>
    <w:rsid w:val="00057E3E"/>
    <w:rsid w:val="000A6989"/>
    <w:rsid w:val="000B0DAE"/>
    <w:rsid w:val="000C6963"/>
    <w:rsid w:val="000E1CA3"/>
    <w:rsid w:val="000E469F"/>
    <w:rsid w:val="000F2F44"/>
    <w:rsid w:val="000F5A56"/>
    <w:rsid w:val="00113037"/>
    <w:rsid w:val="00117178"/>
    <w:rsid w:val="001276D4"/>
    <w:rsid w:val="00137F3A"/>
    <w:rsid w:val="00142A61"/>
    <w:rsid w:val="00147AAF"/>
    <w:rsid w:val="00161D7A"/>
    <w:rsid w:val="00182B64"/>
    <w:rsid w:val="001928C9"/>
    <w:rsid w:val="00195EBE"/>
    <w:rsid w:val="00197159"/>
    <w:rsid w:val="00197FED"/>
    <w:rsid w:val="001B11A4"/>
    <w:rsid w:val="001D2C96"/>
    <w:rsid w:val="001E05F2"/>
    <w:rsid w:val="001F37ED"/>
    <w:rsid w:val="001F4188"/>
    <w:rsid w:val="00224232"/>
    <w:rsid w:val="00233C28"/>
    <w:rsid w:val="00250C58"/>
    <w:rsid w:val="00255E0F"/>
    <w:rsid w:val="0027126E"/>
    <w:rsid w:val="00285815"/>
    <w:rsid w:val="0028711E"/>
    <w:rsid w:val="00293283"/>
    <w:rsid w:val="002B2947"/>
    <w:rsid w:val="002C3290"/>
    <w:rsid w:val="002C4E8C"/>
    <w:rsid w:val="002C5C4B"/>
    <w:rsid w:val="002D4E3D"/>
    <w:rsid w:val="002E3A1B"/>
    <w:rsid w:val="0030611E"/>
    <w:rsid w:val="00306B3C"/>
    <w:rsid w:val="00312983"/>
    <w:rsid w:val="00313136"/>
    <w:rsid w:val="00316FC4"/>
    <w:rsid w:val="0033261C"/>
    <w:rsid w:val="00333986"/>
    <w:rsid w:val="00340363"/>
    <w:rsid w:val="00341BA5"/>
    <w:rsid w:val="0037288D"/>
    <w:rsid w:val="00375AF8"/>
    <w:rsid w:val="00377D65"/>
    <w:rsid w:val="003808EF"/>
    <w:rsid w:val="00390757"/>
    <w:rsid w:val="00390C20"/>
    <w:rsid w:val="003F01BC"/>
    <w:rsid w:val="003F32B5"/>
    <w:rsid w:val="003F3879"/>
    <w:rsid w:val="004002C7"/>
    <w:rsid w:val="00404F62"/>
    <w:rsid w:val="00413CF7"/>
    <w:rsid w:val="0044530F"/>
    <w:rsid w:val="00454312"/>
    <w:rsid w:val="00465E90"/>
    <w:rsid w:val="004707A8"/>
    <w:rsid w:val="0048158E"/>
    <w:rsid w:val="004833F8"/>
    <w:rsid w:val="004A22F0"/>
    <w:rsid w:val="004A5A97"/>
    <w:rsid w:val="004C4CD0"/>
    <w:rsid w:val="004F2835"/>
    <w:rsid w:val="004F3F19"/>
    <w:rsid w:val="00505E44"/>
    <w:rsid w:val="0051354A"/>
    <w:rsid w:val="00537E7C"/>
    <w:rsid w:val="00576D48"/>
    <w:rsid w:val="00586849"/>
    <w:rsid w:val="005958C2"/>
    <w:rsid w:val="005A6867"/>
    <w:rsid w:val="005B266F"/>
    <w:rsid w:val="005B33B3"/>
    <w:rsid w:val="005B7A45"/>
    <w:rsid w:val="005D0C54"/>
    <w:rsid w:val="005E59B1"/>
    <w:rsid w:val="00613F2C"/>
    <w:rsid w:val="00625A9C"/>
    <w:rsid w:val="00630520"/>
    <w:rsid w:val="00634986"/>
    <w:rsid w:val="00644E48"/>
    <w:rsid w:val="006450B4"/>
    <w:rsid w:val="00653243"/>
    <w:rsid w:val="00656682"/>
    <w:rsid w:val="00665063"/>
    <w:rsid w:val="006650E1"/>
    <w:rsid w:val="006731E9"/>
    <w:rsid w:val="00683B87"/>
    <w:rsid w:val="00683DA4"/>
    <w:rsid w:val="00685672"/>
    <w:rsid w:val="00693830"/>
    <w:rsid w:val="006B7822"/>
    <w:rsid w:val="006C007A"/>
    <w:rsid w:val="006C2BC1"/>
    <w:rsid w:val="006C486D"/>
    <w:rsid w:val="006E095C"/>
    <w:rsid w:val="006E1DB8"/>
    <w:rsid w:val="006F236B"/>
    <w:rsid w:val="006F591F"/>
    <w:rsid w:val="006F7CF1"/>
    <w:rsid w:val="0070024D"/>
    <w:rsid w:val="00702B59"/>
    <w:rsid w:val="007143F7"/>
    <w:rsid w:val="00714F36"/>
    <w:rsid w:val="00717713"/>
    <w:rsid w:val="00721B8F"/>
    <w:rsid w:val="00726CF9"/>
    <w:rsid w:val="00730CA1"/>
    <w:rsid w:val="00740494"/>
    <w:rsid w:val="0074304C"/>
    <w:rsid w:val="00745F1C"/>
    <w:rsid w:val="00750C2D"/>
    <w:rsid w:val="00750DD0"/>
    <w:rsid w:val="007510DF"/>
    <w:rsid w:val="00756750"/>
    <w:rsid w:val="007660C3"/>
    <w:rsid w:val="00766A57"/>
    <w:rsid w:val="0076796E"/>
    <w:rsid w:val="00781A8B"/>
    <w:rsid w:val="0079366D"/>
    <w:rsid w:val="007C0838"/>
    <w:rsid w:val="007C1299"/>
    <w:rsid w:val="007C4324"/>
    <w:rsid w:val="007D2B20"/>
    <w:rsid w:val="007E6BF2"/>
    <w:rsid w:val="008242EA"/>
    <w:rsid w:val="00827F6E"/>
    <w:rsid w:val="008305EA"/>
    <w:rsid w:val="00830A6E"/>
    <w:rsid w:val="00830AD5"/>
    <w:rsid w:val="008353CE"/>
    <w:rsid w:val="0083773B"/>
    <w:rsid w:val="00842029"/>
    <w:rsid w:val="00842DE5"/>
    <w:rsid w:val="008550F7"/>
    <w:rsid w:val="0087054E"/>
    <w:rsid w:val="00880780"/>
    <w:rsid w:val="00886034"/>
    <w:rsid w:val="008B603E"/>
    <w:rsid w:val="008B7C67"/>
    <w:rsid w:val="008C1B68"/>
    <w:rsid w:val="008C3256"/>
    <w:rsid w:val="008D05DB"/>
    <w:rsid w:val="008E1AFD"/>
    <w:rsid w:val="008E5BF7"/>
    <w:rsid w:val="008F02FF"/>
    <w:rsid w:val="008F2112"/>
    <w:rsid w:val="008F2CF7"/>
    <w:rsid w:val="008F7251"/>
    <w:rsid w:val="009141F2"/>
    <w:rsid w:val="00930ACD"/>
    <w:rsid w:val="00932846"/>
    <w:rsid w:val="009559DE"/>
    <w:rsid w:val="00966CA7"/>
    <w:rsid w:val="00973E12"/>
    <w:rsid w:val="00976D2C"/>
    <w:rsid w:val="0097786F"/>
    <w:rsid w:val="00981ECB"/>
    <w:rsid w:val="00995018"/>
    <w:rsid w:val="009A01ED"/>
    <w:rsid w:val="009B6A0C"/>
    <w:rsid w:val="009C160C"/>
    <w:rsid w:val="009C1B8E"/>
    <w:rsid w:val="009C56EC"/>
    <w:rsid w:val="009D0AA1"/>
    <w:rsid w:val="009D47C6"/>
    <w:rsid w:val="009E01D4"/>
    <w:rsid w:val="009F240F"/>
    <w:rsid w:val="009F60DD"/>
    <w:rsid w:val="00A23A1F"/>
    <w:rsid w:val="00A24D94"/>
    <w:rsid w:val="00A25687"/>
    <w:rsid w:val="00A40225"/>
    <w:rsid w:val="00A40C19"/>
    <w:rsid w:val="00A461E1"/>
    <w:rsid w:val="00A52993"/>
    <w:rsid w:val="00A663B1"/>
    <w:rsid w:val="00A8042F"/>
    <w:rsid w:val="00A90749"/>
    <w:rsid w:val="00A97CC5"/>
    <w:rsid w:val="00AA2E33"/>
    <w:rsid w:val="00AA541A"/>
    <w:rsid w:val="00AA61D4"/>
    <w:rsid w:val="00AB0B1B"/>
    <w:rsid w:val="00AB6BAB"/>
    <w:rsid w:val="00AC149F"/>
    <w:rsid w:val="00AC50F4"/>
    <w:rsid w:val="00AC7876"/>
    <w:rsid w:val="00AD6F71"/>
    <w:rsid w:val="00AE07B3"/>
    <w:rsid w:val="00AE36D0"/>
    <w:rsid w:val="00AF06F3"/>
    <w:rsid w:val="00AF5949"/>
    <w:rsid w:val="00B02521"/>
    <w:rsid w:val="00B028F6"/>
    <w:rsid w:val="00B643EE"/>
    <w:rsid w:val="00B71419"/>
    <w:rsid w:val="00B96A1F"/>
    <w:rsid w:val="00BA5B90"/>
    <w:rsid w:val="00BB1E38"/>
    <w:rsid w:val="00BD2266"/>
    <w:rsid w:val="00BF27E7"/>
    <w:rsid w:val="00BF4952"/>
    <w:rsid w:val="00C2305A"/>
    <w:rsid w:val="00C26BB2"/>
    <w:rsid w:val="00C3374B"/>
    <w:rsid w:val="00C365BB"/>
    <w:rsid w:val="00C3666F"/>
    <w:rsid w:val="00C37280"/>
    <w:rsid w:val="00C4389B"/>
    <w:rsid w:val="00C44AEF"/>
    <w:rsid w:val="00C44CDA"/>
    <w:rsid w:val="00C51350"/>
    <w:rsid w:val="00C51C19"/>
    <w:rsid w:val="00C54B52"/>
    <w:rsid w:val="00C60383"/>
    <w:rsid w:val="00C61BE4"/>
    <w:rsid w:val="00C71BE2"/>
    <w:rsid w:val="00C74856"/>
    <w:rsid w:val="00C8091C"/>
    <w:rsid w:val="00C83BB9"/>
    <w:rsid w:val="00CA056E"/>
    <w:rsid w:val="00CA4C3D"/>
    <w:rsid w:val="00CA7E50"/>
    <w:rsid w:val="00CB0288"/>
    <w:rsid w:val="00CB356D"/>
    <w:rsid w:val="00CC1CCD"/>
    <w:rsid w:val="00CC302A"/>
    <w:rsid w:val="00CC5972"/>
    <w:rsid w:val="00CD5B72"/>
    <w:rsid w:val="00CD6386"/>
    <w:rsid w:val="00CE5F1D"/>
    <w:rsid w:val="00CE6926"/>
    <w:rsid w:val="00D067A7"/>
    <w:rsid w:val="00D2454E"/>
    <w:rsid w:val="00D31D9D"/>
    <w:rsid w:val="00D51E06"/>
    <w:rsid w:val="00D602EA"/>
    <w:rsid w:val="00D61F01"/>
    <w:rsid w:val="00D71093"/>
    <w:rsid w:val="00D71144"/>
    <w:rsid w:val="00D8335C"/>
    <w:rsid w:val="00D9014E"/>
    <w:rsid w:val="00D91411"/>
    <w:rsid w:val="00D92F76"/>
    <w:rsid w:val="00D93A43"/>
    <w:rsid w:val="00DA221F"/>
    <w:rsid w:val="00DA6E6B"/>
    <w:rsid w:val="00DB0D05"/>
    <w:rsid w:val="00DB71EE"/>
    <w:rsid w:val="00DC2254"/>
    <w:rsid w:val="00DC5DF8"/>
    <w:rsid w:val="00DE4125"/>
    <w:rsid w:val="00DF658D"/>
    <w:rsid w:val="00E017EB"/>
    <w:rsid w:val="00E10DBA"/>
    <w:rsid w:val="00E12EA9"/>
    <w:rsid w:val="00E440C0"/>
    <w:rsid w:val="00E64574"/>
    <w:rsid w:val="00E740CD"/>
    <w:rsid w:val="00E7461E"/>
    <w:rsid w:val="00E80BFC"/>
    <w:rsid w:val="00E85102"/>
    <w:rsid w:val="00E85A4C"/>
    <w:rsid w:val="00E97157"/>
    <w:rsid w:val="00EA0A04"/>
    <w:rsid w:val="00EB288B"/>
    <w:rsid w:val="00EE39EE"/>
    <w:rsid w:val="00EF112B"/>
    <w:rsid w:val="00EF32B6"/>
    <w:rsid w:val="00EF5387"/>
    <w:rsid w:val="00F040EE"/>
    <w:rsid w:val="00F131F0"/>
    <w:rsid w:val="00F26243"/>
    <w:rsid w:val="00F31F45"/>
    <w:rsid w:val="00F5245B"/>
    <w:rsid w:val="00F67397"/>
    <w:rsid w:val="00F77ECA"/>
    <w:rsid w:val="00F83A6D"/>
    <w:rsid w:val="00F83AC6"/>
    <w:rsid w:val="00FB259C"/>
    <w:rsid w:val="00FB5CEF"/>
    <w:rsid w:val="00FC1E96"/>
    <w:rsid w:val="00FE1949"/>
    <w:rsid w:val="00FE46D8"/>
    <w:rsid w:val="00FF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E9600"/>
  <w15:chartTrackingRefBased/>
  <w15:docId w15:val="{ED03FE6C-F783-4873-ADE8-F5277F31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B87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5D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D05DB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8D05D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8D05DB"/>
    <w:rPr>
      <w:sz w:val="20"/>
      <w:szCs w:val="20"/>
      <w:lang w:val="en-GB"/>
    </w:rPr>
  </w:style>
  <w:style w:type="character" w:styleId="a7">
    <w:name w:val="Hyperlink"/>
    <w:basedOn w:val="a0"/>
    <w:uiPriority w:val="99"/>
    <w:unhideWhenUsed/>
    <w:rsid w:val="008D05DB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D0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05DB"/>
    <w:rPr>
      <w:rFonts w:ascii="Segoe UI" w:hAnsi="Segoe UI" w:cs="Segoe UI"/>
      <w:sz w:val="18"/>
      <w:szCs w:val="18"/>
      <w:lang w:val="en-GB"/>
    </w:rPr>
  </w:style>
  <w:style w:type="character" w:customStyle="1" w:styleId="UnresolvedMention1">
    <w:name w:val="Unresolved Mention1"/>
    <w:basedOn w:val="a0"/>
    <w:uiPriority w:val="99"/>
    <w:semiHidden/>
    <w:unhideWhenUsed/>
    <w:rsid w:val="00932846"/>
    <w:rPr>
      <w:color w:val="605E5C"/>
      <w:shd w:val="clear" w:color="auto" w:fill="E1DFDD"/>
    </w:rPr>
  </w:style>
  <w:style w:type="paragraph" w:styleId="aa">
    <w:name w:val="Revision"/>
    <w:hidden/>
    <w:uiPriority w:val="99"/>
    <w:semiHidden/>
    <w:rsid w:val="008F2CF7"/>
    <w:pPr>
      <w:spacing w:after="0" w:line="240" w:lineRule="auto"/>
    </w:pPr>
    <w:rPr>
      <w:lang w:val="en-GB"/>
    </w:rPr>
  </w:style>
  <w:style w:type="character" w:styleId="ab">
    <w:name w:val="FollowedHyperlink"/>
    <w:basedOn w:val="a0"/>
    <w:uiPriority w:val="99"/>
    <w:semiHidden/>
    <w:unhideWhenUsed/>
    <w:rsid w:val="00375AF8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DC2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C2254"/>
    <w:rPr>
      <w:lang w:val="en-GB"/>
    </w:rPr>
  </w:style>
  <w:style w:type="paragraph" w:styleId="ae">
    <w:name w:val="footer"/>
    <w:basedOn w:val="a"/>
    <w:link w:val="af"/>
    <w:uiPriority w:val="99"/>
    <w:unhideWhenUsed/>
    <w:rsid w:val="00DC2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C2254"/>
    <w:rPr>
      <w:lang w:val="en-GB"/>
    </w:rPr>
  </w:style>
  <w:style w:type="paragraph" w:customStyle="1" w:styleId="Body">
    <w:name w:val="Body"/>
    <w:rsid w:val="00683B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</w:rPr>
  </w:style>
  <w:style w:type="paragraph" w:styleId="af0">
    <w:name w:val="Normal (Web)"/>
    <w:basedOn w:val="a"/>
    <w:uiPriority w:val="99"/>
    <w:semiHidden/>
    <w:unhideWhenUsed/>
    <w:rsid w:val="0045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-41">
    <w:name w:val="Grid Table 4 Accent 1"/>
    <w:basedOn w:val="a1"/>
    <w:uiPriority w:val="49"/>
    <w:rsid w:val="00224232"/>
    <w:pPr>
      <w:spacing w:after="0" w:line="240" w:lineRule="auto"/>
    </w:pPr>
    <w:rPr>
      <w:lang w:val="ru-RU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ap">
    <w:name w:val="ap"/>
    <w:basedOn w:val="a"/>
    <w:rsid w:val="00665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No Spacing"/>
    <w:basedOn w:val="a"/>
    <w:uiPriority w:val="1"/>
    <w:qFormat/>
    <w:rsid w:val="00C2305A"/>
    <w:pPr>
      <w:spacing w:after="0" w:line="240" w:lineRule="auto"/>
    </w:pPr>
    <w:rPr>
      <w:rFonts w:ascii="Calibri" w:hAnsi="Calibri" w:cs="Calibri"/>
      <w:lang w:val="ru-RU" w:eastAsia="ru-RU"/>
    </w:rPr>
  </w:style>
  <w:style w:type="paragraph" w:styleId="af2">
    <w:name w:val="annotation subject"/>
    <w:basedOn w:val="a5"/>
    <w:next w:val="a5"/>
    <w:link w:val="af3"/>
    <w:uiPriority w:val="99"/>
    <w:semiHidden/>
    <w:unhideWhenUsed/>
    <w:rsid w:val="00656682"/>
    <w:rPr>
      <w:b/>
      <w:bCs/>
    </w:rPr>
  </w:style>
  <w:style w:type="character" w:customStyle="1" w:styleId="af3">
    <w:name w:val="Тема примечания Знак"/>
    <w:basedOn w:val="a6"/>
    <w:link w:val="af2"/>
    <w:uiPriority w:val="99"/>
    <w:semiHidden/>
    <w:rsid w:val="00656682"/>
    <w:rPr>
      <w:b/>
      <w:bCs/>
      <w:sz w:val="20"/>
      <w:szCs w:val="20"/>
      <w:lang w:val="en-GB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44C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8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noventiq.com/about/esg" TargetMode="External"/><Relationship Id="rId18" Type="http://schemas.openxmlformats.org/officeDocument/2006/relationships/hyperlink" Target="mailto:Rocio.herraiz@noventiq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londonstockexchange.com/news-article/SFTL/result-of-general-meeting/15687479" TargetMode="External"/><Relationship Id="rId17" Type="http://schemas.openxmlformats.org/officeDocument/2006/relationships/hyperlink" Target="mailto:IR@noventiq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oventiq.com/investor-relation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ondonstockexchange.com/news-article/SFTL/softline-completes-sale-of-its-russian-business/15680538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lsegissuerservices.com/spark/SOFTLINEHOLDING/events/73190a44-b36b-46de-af54-cf644c2a8450" TargetMode="External"/><Relationship Id="rId10" Type="http://schemas.openxmlformats.org/officeDocument/2006/relationships/hyperlink" Target="https://www.londonstockexchange.com/news-article/SFTL/notice-of-shareholder-circular-and-general-meeting/15663913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noventiq.com/news/softline-holding-plc-begins-trading-under-the-brand-name-noventi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48BC1A0123CB4C9F631B633DFE2DD0" ma:contentTypeVersion="6" ma:contentTypeDescription="Создание документа." ma:contentTypeScope="" ma:versionID="11b25d57a070c748c20ef75564e479c4">
  <xsd:schema xmlns:xsd="http://www.w3.org/2001/XMLSchema" xmlns:xs="http://www.w3.org/2001/XMLSchema" xmlns:p="http://schemas.microsoft.com/office/2006/metadata/properties" xmlns:ns2="df712297-caf3-45f7-abd8-4282d34c4fb0" xmlns:ns3="e5300792-d807-4a46-888a-0735f65af2aa" xmlns:ns4="22c62ca3-cf33-4e9c-9b3c-a4d33d90bb97" targetNamespace="http://schemas.microsoft.com/office/2006/metadata/properties" ma:root="true" ma:fieldsID="b54748bcf49bc8df6ffcafec0f2aef22" ns2:_="" ns3:_="" ns4:_="">
    <xsd:import namespace="df712297-caf3-45f7-abd8-4282d34c4fb0"/>
    <xsd:import namespace="e5300792-d807-4a46-888a-0735f65af2aa"/>
    <xsd:import namespace="22c62ca3-cf33-4e9c-9b3c-a4d33d90bb97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12297-caf3-45f7-abd8-4282d34c4fb0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8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af486d18-fdfb-40d7-ae35-60cdbc34d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00792-d807-4a46-888a-0735f65af2aa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d39b34e4-6fd5-4c3d-bf31-0c6481659420}" ma:internalName="TaxCatchAll" ma:showField="CatchAllData" ma:web="e5300792-d807-4a46-888a-0735f65af2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62ca3-cf33-4e9c-9b3c-a4d33d90bb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300792-d807-4a46-888a-0735f65af2aa" xsi:nil="true"/>
    <lcf76f155ced4ddcb4097134ff3c332f xmlns="df712297-caf3-45f7-abd8-4282d34c4fb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AA9A89-B402-4C06-934E-BF241C8C5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712297-caf3-45f7-abd8-4282d34c4fb0"/>
    <ds:schemaRef ds:uri="e5300792-d807-4a46-888a-0735f65af2aa"/>
    <ds:schemaRef ds:uri="22c62ca3-cf33-4e9c-9b3c-a4d33d90bb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BD76FF-EA69-4D5E-883E-AAC0CC471B82}">
  <ds:schemaRefs>
    <ds:schemaRef ds:uri="http://schemas.microsoft.com/office/2006/metadata/properties"/>
    <ds:schemaRef ds:uri="http://schemas.microsoft.com/office/infopath/2007/PartnerControls"/>
    <ds:schemaRef ds:uri="e5300792-d807-4a46-888a-0735f65af2aa"/>
    <ds:schemaRef ds:uri="df712297-caf3-45f7-abd8-4282d34c4fb0"/>
  </ds:schemaRefs>
</ds:datastoreItem>
</file>

<file path=customXml/itemProps3.xml><?xml version="1.0" encoding="utf-8"?>
<ds:datastoreItem xmlns:ds="http://schemas.openxmlformats.org/officeDocument/2006/customXml" ds:itemID="{AE1CBE6D-B70A-409E-BA6B-208DB41B4D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4651</Words>
  <Characters>26511</Characters>
  <Application>Microsoft Office Word</Application>
  <DocSecurity>0</DocSecurity>
  <Lines>220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Herraiz, Rocio</dc:creator>
  <cp:lastModifiedBy>Melnikova, Alexandra</cp:lastModifiedBy>
  <cp:revision>8</cp:revision>
  <dcterms:created xsi:type="dcterms:W3CDTF">2022-11-28T14:55:00Z</dcterms:created>
  <dcterms:modified xsi:type="dcterms:W3CDTF">2022-11-29T06:42:00Z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0x0101002C48BC1A0123CB4C9F631B633DFE2DD0</vt:lpwstr>
  </property>
  <property fmtid="{D5CDD505-2E9C-101B-9397-08002B2CF9AE}" pid="3" name="MediaServiceImageTags">
    <vt:lpwstr/>
  </property>
  <property fmtid="{D5CDD505-2E9C-101B-9397-08002B2CF9AE}" pid="4" name="MSIP_Label_defa4170-0d19-0005-0004-bc88714345d2_ActionId">
    <vt:lpwstr>db44d3c5-b670-461c-b3a7-f53016f996aa</vt:lpwstr>
  </property>
  <property fmtid="{D5CDD505-2E9C-101B-9397-08002B2CF9AE}" pid="5" name="MSIP_Label_defa4170-0d19-0005-0004-bc88714345d2_ContentBits">
    <vt:lpwstr>0</vt:lpwstr>
  </property>
  <property fmtid="{D5CDD505-2E9C-101B-9397-08002B2CF9AE}" pid="6" name="MSIP_Label_defa4170-0d19-0005-0004-bc88714345d2_Enabled">
    <vt:lpwstr>true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etDate">
    <vt:lpwstr>2022-11-15T09:39:09Z</vt:lpwstr>
  </property>
  <property fmtid="{D5CDD505-2E9C-101B-9397-08002B2CF9AE}" pid="10" name="MSIP_Label_defa4170-0d19-0005-0004-bc88714345d2_SiteId">
    <vt:lpwstr>1f3f9d61-e763-4e33-b8eb-e95c97f9f2ff</vt:lpwstr>
  </property>
</Properties>
</file>